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10861" w14:textId="77777777" w:rsidR="00E67355" w:rsidRDefault="00E67355" w:rsidP="00A14074">
      <w:pPr>
        <w:autoSpaceDE w:val="0"/>
        <w:autoSpaceDN w:val="0"/>
        <w:adjustRightInd w:val="0"/>
        <w:spacing w:after="0" w:line="240" w:lineRule="auto"/>
        <w:jc w:val="both"/>
        <w:rPr>
          <w:rFonts w:cstheme="minorHAnsi"/>
          <w:bCs/>
          <w:sz w:val="24"/>
          <w:szCs w:val="24"/>
        </w:rPr>
      </w:pPr>
    </w:p>
    <w:p w14:paraId="500E2A6F" w14:textId="143EE8D1" w:rsidR="00D3315F" w:rsidRPr="00306217" w:rsidRDefault="00336AC1" w:rsidP="00306217">
      <w:pPr>
        <w:autoSpaceDE w:val="0"/>
        <w:autoSpaceDN w:val="0"/>
        <w:adjustRightInd w:val="0"/>
        <w:spacing w:after="0" w:line="240" w:lineRule="auto"/>
        <w:jc w:val="center"/>
        <w:rPr>
          <w:rFonts w:cstheme="minorHAnsi"/>
          <w:b/>
          <w:bCs/>
          <w:sz w:val="30"/>
          <w:szCs w:val="24"/>
        </w:rPr>
      </w:pPr>
      <w:r w:rsidRPr="00306217">
        <w:rPr>
          <w:rFonts w:cstheme="minorHAnsi"/>
          <w:b/>
          <w:bCs/>
          <w:sz w:val="30"/>
          <w:szCs w:val="24"/>
        </w:rPr>
        <w:t>LISTA DE VERIFICAÇÃO</w:t>
      </w:r>
      <w:r w:rsidR="00A604DB">
        <w:rPr>
          <w:rFonts w:cstheme="minorHAnsi"/>
          <w:b/>
          <w:bCs/>
          <w:sz w:val="30"/>
          <w:szCs w:val="24"/>
        </w:rPr>
        <w:t xml:space="preserve"> - </w:t>
      </w:r>
      <w:r w:rsidR="00D3315F">
        <w:rPr>
          <w:rFonts w:cstheme="minorHAnsi"/>
          <w:b/>
          <w:bCs/>
          <w:sz w:val="30"/>
          <w:szCs w:val="24"/>
        </w:rPr>
        <w:t xml:space="preserve">AQUISIÇÃO DE BENS </w:t>
      </w:r>
    </w:p>
    <w:p w14:paraId="6A996BFA" w14:textId="77777777" w:rsidR="00336AC1" w:rsidRDefault="00336AC1" w:rsidP="00A14074">
      <w:pPr>
        <w:autoSpaceDE w:val="0"/>
        <w:autoSpaceDN w:val="0"/>
        <w:adjustRightInd w:val="0"/>
        <w:spacing w:after="0" w:line="240" w:lineRule="auto"/>
        <w:jc w:val="both"/>
        <w:rPr>
          <w:rFonts w:cstheme="minorHAnsi"/>
          <w:bCs/>
          <w:sz w:val="24"/>
          <w:szCs w:val="24"/>
        </w:rPr>
      </w:pPr>
    </w:p>
    <w:p w14:paraId="4BB73C0E" w14:textId="77777777" w:rsidR="00306217" w:rsidRDefault="00306217" w:rsidP="00A14074">
      <w:pPr>
        <w:autoSpaceDE w:val="0"/>
        <w:autoSpaceDN w:val="0"/>
        <w:adjustRightInd w:val="0"/>
        <w:spacing w:after="0" w:line="240" w:lineRule="auto"/>
        <w:jc w:val="both"/>
        <w:rPr>
          <w:rFonts w:cstheme="minorHAnsi"/>
          <w:bCs/>
          <w:sz w:val="24"/>
          <w:szCs w:val="24"/>
        </w:rPr>
      </w:pPr>
    </w:p>
    <w:p w14:paraId="4EAEBA87" w14:textId="77777777" w:rsidR="00984035" w:rsidRDefault="00984035" w:rsidP="00984035">
      <w:pPr>
        <w:autoSpaceDE w:val="0"/>
        <w:autoSpaceDN w:val="0"/>
        <w:adjustRightInd w:val="0"/>
        <w:spacing w:after="0" w:line="240" w:lineRule="auto"/>
        <w:jc w:val="both"/>
        <w:rPr>
          <w:rFonts w:cstheme="minorHAnsi"/>
          <w:bCs/>
          <w:color w:val="FF0000"/>
          <w:sz w:val="24"/>
          <w:szCs w:val="24"/>
        </w:rPr>
      </w:pPr>
      <w:r>
        <w:rPr>
          <w:rFonts w:cstheme="minorHAnsi"/>
          <w:bCs/>
          <w:color w:val="FF0000"/>
          <w:sz w:val="24"/>
          <w:szCs w:val="24"/>
        </w:rPr>
        <w:t>Obs.1: Na coluna “ESTADO” preencher apenas com as letras “S”, “N”, “N.A.”, sendo:</w:t>
      </w:r>
    </w:p>
    <w:p w14:paraId="2036A024" w14:textId="77777777" w:rsidR="00984035" w:rsidRDefault="00984035" w:rsidP="00984035">
      <w:pPr>
        <w:autoSpaceDE w:val="0"/>
        <w:autoSpaceDN w:val="0"/>
        <w:adjustRightInd w:val="0"/>
        <w:spacing w:after="0" w:line="240" w:lineRule="auto"/>
        <w:jc w:val="both"/>
        <w:rPr>
          <w:rFonts w:cstheme="minorHAnsi"/>
          <w:bCs/>
          <w:color w:val="FF0000"/>
          <w:sz w:val="24"/>
          <w:szCs w:val="24"/>
        </w:rPr>
      </w:pPr>
      <w:r>
        <w:rPr>
          <w:rFonts w:cstheme="minorHAnsi"/>
          <w:bCs/>
          <w:color w:val="FF0000"/>
          <w:sz w:val="24"/>
          <w:szCs w:val="24"/>
        </w:rPr>
        <w:t>S – SIM</w:t>
      </w:r>
    </w:p>
    <w:p w14:paraId="6AAA4969" w14:textId="77777777" w:rsidR="00984035" w:rsidRDefault="00984035" w:rsidP="00984035">
      <w:pPr>
        <w:autoSpaceDE w:val="0"/>
        <w:autoSpaceDN w:val="0"/>
        <w:adjustRightInd w:val="0"/>
        <w:spacing w:after="0" w:line="240" w:lineRule="auto"/>
        <w:jc w:val="both"/>
        <w:rPr>
          <w:rFonts w:cstheme="minorHAnsi"/>
          <w:bCs/>
          <w:color w:val="FF0000"/>
          <w:sz w:val="24"/>
          <w:szCs w:val="24"/>
        </w:rPr>
      </w:pPr>
      <w:r>
        <w:rPr>
          <w:rFonts w:cstheme="minorHAnsi"/>
          <w:bCs/>
          <w:color w:val="FF0000"/>
          <w:sz w:val="24"/>
          <w:szCs w:val="24"/>
        </w:rPr>
        <w:t>N – NÃO</w:t>
      </w:r>
    </w:p>
    <w:p w14:paraId="21CF3429" w14:textId="77777777" w:rsidR="00984035" w:rsidRDefault="00984035" w:rsidP="00984035">
      <w:pPr>
        <w:autoSpaceDE w:val="0"/>
        <w:autoSpaceDN w:val="0"/>
        <w:adjustRightInd w:val="0"/>
        <w:spacing w:after="0" w:line="240" w:lineRule="auto"/>
        <w:jc w:val="both"/>
        <w:rPr>
          <w:rFonts w:cstheme="minorHAnsi"/>
          <w:bCs/>
          <w:color w:val="FF0000"/>
          <w:sz w:val="24"/>
          <w:szCs w:val="24"/>
        </w:rPr>
      </w:pPr>
      <w:r>
        <w:rPr>
          <w:rFonts w:cstheme="minorHAnsi"/>
          <w:bCs/>
          <w:color w:val="FF0000"/>
          <w:sz w:val="24"/>
          <w:szCs w:val="24"/>
        </w:rPr>
        <w:t>N.A.– NÃO SE APLICA</w:t>
      </w:r>
    </w:p>
    <w:p w14:paraId="2510DBC4" w14:textId="77777777" w:rsidR="00984035" w:rsidRDefault="00984035" w:rsidP="00984035">
      <w:pPr>
        <w:autoSpaceDE w:val="0"/>
        <w:autoSpaceDN w:val="0"/>
        <w:adjustRightInd w:val="0"/>
        <w:spacing w:after="0" w:line="240" w:lineRule="auto"/>
        <w:jc w:val="both"/>
        <w:rPr>
          <w:rFonts w:cstheme="minorHAnsi"/>
          <w:bCs/>
          <w:color w:val="FF0000"/>
          <w:sz w:val="24"/>
          <w:szCs w:val="24"/>
        </w:rPr>
      </w:pPr>
    </w:p>
    <w:p w14:paraId="12CBC400" w14:textId="77777777" w:rsidR="00984035" w:rsidRDefault="00984035" w:rsidP="00984035">
      <w:pPr>
        <w:autoSpaceDE w:val="0"/>
        <w:autoSpaceDN w:val="0"/>
        <w:adjustRightInd w:val="0"/>
        <w:spacing w:after="0" w:line="240" w:lineRule="auto"/>
        <w:jc w:val="both"/>
        <w:rPr>
          <w:rFonts w:cstheme="minorHAnsi"/>
          <w:bCs/>
          <w:color w:val="FF0000"/>
          <w:sz w:val="24"/>
          <w:szCs w:val="24"/>
        </w:rPr>
      </w:pPr>
      <w:r>
        <w:rPr>
          <w:rFonts w:cstheme="minorHAnsi"/>
          <w:bCs/>
          <w:color w:val="FF0000"/>
          <w:sz w:val="24"/>
          <w:szCs w:val="24"/>
        </w:rPr>
        <w:t>Obs.2: Na utilização da presente lista deverão ser analisadas e verificadas as consequências para cada negativa, se pode ser suprida por justificativas ou enquadramentos específicos ou se deve haver complementação da instrução.</w:t>
      </w:r>
    </w:p>
    <w:p w14:paraId="2E2AE6A7" w14:textId="77777777" w:rsidR="00984035" w:rsidRDefault="00984035" w:rsidP="00984035">
      <w:pPr>
        <w:autoSpaceDE w:val="0"/>
        <w:autoSpaceDN w:val="0"/>
        <w:adjustRightInd w:val="0"/>
        <w:spacing w:after="0" w:line="240" w:lineRule="auto"/>
        <w:jc w:val="both"/>
        <w:rPr>
          <w:rFonts w:cstheme="minorHAnsi"/>
          <w:bCs/>
          <w:color w:val="FF0000"/>
          <w:sz w:val="24"/>
          <w:szCs w:val="24"/>
        </w:rPr>
      </w:pPr>
    </w:p>
    <w:p w14:paraId="3EDF666A" w14:textId="3A948176" w:rsidR="00984035" w:rsidRDefault="00984035" w:rsidP="00984035">
      <w:pPr>
        <w:autoSpaceDE w:val="0"/>
        <w:autoSpaceDN w:val="0"/>
        <w:adjustRightInd w:val="0"/>
        <w:spacing w:after="0" w:line="240" w:lineRule="auto"/>
        <w:jc w:val="both"/>
        <w:rPr>
          <w:rFonts w:cstheme="minorHAnsi"/>
          <w:bCs/>
          <w:color w:val="FF0000"/>
          <w:sz w:val="24"/>
          <w:szCs w:val="24"/>
        </w:rPr>
      </w:pPr>
      <w:r>
        <w:rPr>
          <w:rFonts w:cstheme="minorHAnsi"/>
          <w:bCs/>
          <w:color w:val="FF0000"/>
          <w:sz w:val="24"/>
          <w:szCs w:val="24"/>
        </w:rPr>
        <w:t>Obs. 3: O agente que vier a utilizar esta lista deverá remover as seções que não se aplicarem ao caso.</w:t>
      </w:r>
    </w:p>
    <w:p w14:paraId="04888F92" w14:textId="77777777" w:rsidR="00B43EE1" w:rsidRDefault="00B43EE1" w:rsidP="005748FE">
      <w:pPr>
        <w:autoSpaceDE w:val="0"/>
        <w:autoSpaceDN w:val="0"/>
        <w:adjustRightInd w:val="0"/>
        <w:spacing w:after="0" w:line="240" w:lineRule="auto"/>
        <w:jc w:val="both"/>
        <w:rPr>
          <w:rFonts w:cstheme="minorHAnsi"/>
          <w:bCs/>
          <w:color w:val="FF0000"/>
          <w:sz w:val="24"/>
          <w:szCs w:val="24"/>
        </w:rPr>
      </w:pPr>
    </w:p>
    <w:tbl>
      <w:tblPr>
        <w:tblStyle w:val="Tabelacomgrade"/>
        <w:tblW w:w="9634" w:type="dxa"/>
        <w:tblLook w:val="04A0" w:firstRow="1" w:lastRow="0" w:firstColumn="1" w:lastColumn="0" w:noHBand="0" w:noVBand="1"/>
      </w:tblPr>
      <w:tblGrid>
        <w:gridCol w:w="8359"/>
        <w:gridCol w:w="1275"/>
      </w:tblGrid>
      <w:tr w:rsidR="00916648" w:rsidRPr="00106759" w14:paraId="037554B6" w14:textId="1386769D" w:rsidTr="00916648">
        <w:tc>
          <w:tcPr>
            <w:tcW w:w="8359" w:type="dxa"/>
          </w:tcPr>
          <w:p w14:paraId="7ED438BC" w14:textId="6C4E0E6A" w:rsidR="00916648" w:rsidRPr="00106759" w:rsidRDefault="00916648" w:rsidP="00374BB3">
            <w:pPr>
              <w:autoSpaceDE w:val="0"/>
              <w:autoSpaceDN w:val="0"/>
              <w:adjustRightInd w:val="0"/>
              <w:jc w:val="center"/>
              <w:rPr>
                <w:rFonts w:cstheme="minorHAnsi"/>
                <w:sz w:val="24"/>
                <w:szCs w:val="24"/>
              </w:rPr>
            </w:pPr>
            <w:r w:rsidRPr="00106759">
              <w:rPr>
                <w:rFonts w:cstheme="minorHAnsi"/>
                <w:b/>
                <w:bCs/>
                <w:sz w:val="24"/>
                <w:szCs w:val="24"/>
              </w:rPr>
              <w:t>VERIFICAÇÃO COMUM A TODAS AS CONTRATAÇÕES</w:t>
            </w:r>
          </w:p>
        </w:tc>
        <w:tc>
          <w:tcPr>
            <w:tcW w:w="1275" w:type="dxa"/>
          </w:tcPr>
          <w:p w14:paraId="176C6210" w14:textId="77777777" w:rsidR="00916648" w:rsidRPr="00106759" w:rsidRDefault="00916648" w:rsidP="00CB11E4">
            <w:pPr>
              <w:autoSpaceDE w:val="0"/>
              <w:autoSpaceDN w:val="0"/>
              <w:adjustRightInd w:val="0"/>
              <w:jc w:val="both"/>
              <w:rPr>
                <w:rFonts w:cstheme="minorHAnsi"/>
                <w:sz w:val="24"/>
                <w:szCs w:val="24"/>
              </w:rPr>
            </w:pPr>
            <w:r w:rsidRPr="00106759">
              <w:rPr>
                <w:rFonts w:cstheme="minorHAnsi"/>
                <w:sz w:val="24"/>
                <w:szCs w:val="24"/>
              </w:rPr>
              <w:t>ESTADO</w:t>
            </w:r>
          </w:p>
          <w:p w14:paraId="2E91772A" w14:textId="4AA229A9" w:rsidR="00916648" w:rsidRPr="00106759" w:rsidRDefault="00916648" w:rsidP="00CB11E4">
            <w:pPr>
              <w:autoSpaceDE w:val="0"/>
              <w:autoSpaceDN w:val="0"/>
              <w:adjustRightInd w:val="0"/>
              <w:jc w:val="both"/>
              <w:rPr>
                <w:rFonts w:cstheme="minorHAnsi"/>
                <w:sz w:val="24"/>
                <w:szCs w:val="24"/>
              </w:rPr>
            </w:pPr>
            <w:r w:rsidRPr="00106759">
              <w:rPr>
                <w:rFonts w:cstheme="minorHAnsi"/>
                <w:sz w:val="24"/>
                <w:szCs w:val="24"/>
              </w:rPr>
              <w:t>S/N/N.A.</w:t>
            </w:r>
          </w:p>
        </w:tc>
      </w:tr>
      <w:tr w:rsidR="00916648" w:rsidRPr="00106759" w14:paraId="687DC0D1" w14:textId="7B990B21" w:rsidTr="00916648">
        <w:tc>
          <w:tcPr>
            <w:tcW w:w="8359" w:type="dxa"/>
          </w:tcPr>
          <w:p w14:paraId="64D73262" w14:textId="77777777" w:rsidR="00916648" w:rsidRPr="0018533D" w:rsidRDefault="00916648" w:rsidP="00D21940">
            <w:pPr>
              <w:jc w:val="both"/>
              <w:rPr>
                <w:rFonts w:cstheme="minorHAnsi"/>
                <w:sz w:val="24"/>
                <w:szCs w:val="24"/>
              </w:rPr>
            </w:pPr>
            <w:r w:rsidRPr="00106759">
              <w:rPr>
                <w:rFonts w:cstheme="minorHAnsi"/>
                <w:sz w:val="24"/>
                <w:szCs w:val="24"/>
              </w:rPr>
              <w:t xml:space="preserve">1. </w:t>
            </w:r>
            <w:r w:rsidRPr="00106759">
              <w:rPr>
                <w:rFonts w:cstheme="minorHAnsi"/>
                <w:bCs/>
                <w:sz w:val="24"/>
                <w:szCs w:val="24"/>
              </w:rPr>
              <w:t>Houve abertura de processo administrativo devidamente autuado e numerado, quando processo físico, ou registrado quando processo eletrônico</w:t>
            </w:r>
            <w:r>
              <w:rPr>
                <w:rFonts w:cstheme="minorHAnsi"/>
                <w:bCs/>
                <w:sz w:val="24"/>
                <w:szCs w:val="24"/>
              </w:rPr>
              <w:t xml:space="preserve">, </w:t>
            </w:r>
            <w:r w:rsidRPr="0018533D">
              <w:rPr>
                <w:rFonts w:cstheme="minorHAnsi"/>
                <w:sz w:val="24"/>
                <w:szCs w:val="24"/>
              </w:rPr>
              <w:t>nos termos da ON</w:t>
            </w:r>
            <w:r>
              <w:rPr>
                <w:rFonts w:cstheme="minorHAnsi"/>
                <w:sz w:val="24"/>
                <w:szCs w:val="24"/>
              </w:rPr>
              <w:t>-</w:t>
            </w:r>
            <w:r w:rsidRPr="0018533D">
              <w:rPr>
                <w:rFonts w:cstheme="minorHAnsi"/>
                <w:sz w:val="24"/>
                <w:szCs w:val="24"/>
              </w:rPr>
              <w:t>AGU 2</w:t>
            </w:r>
            <w:r>
              <w:rPr>
                <w:rFonts w:cstheme="minorHAnsi"/>
                <w:sz w:val="24"/>
                <w:szCs w:val="24"/>
              </w:rPr>
              <w:t>/</w:t>
            </w:r>
            <w:r w:rsidRPr="0018533D">
              <w:rPr>
                <w:rFonts w:cstheme="minorHAnsi"/>
                <w:sz w:val="24"/>
                <w:szCs w:val="24"/>
              </w:rPr>
              <w:t xml:space="preserve">2009? </w:t>
            </w:r>
          </w:p>
          <w:p w14:paraId="670FE980" w14:textId="2EB4C307" w:rsidR="00916648" w:rsidRPr="00106759" w:rsidRDefault="00916648" w:rsidP="00D21940">
            <w:pPr>
              <w:autoSpaceDE w:val="0"/>
              <w:autoSpaceDN w:val="0"/>
              <w:adjustRightInd w:val="0"/>
              <w:jc w:val="both"/>
              <w:rPr>
                <w:rFonts w:cstheme="minorHAnsi"/>
                <w:sz w:val="24"/>
                <w:szCs w:val="24"/>
              </w:rPr>
            </w:pPr>
            <w:r w:rsidRPr="0018533D">
              <w:rPr>
                <w:rFonts w:cstheme="minorHAnsi"/>
                <w:color w:val="FF0000"/>
                <w:sz w:val="24"/>
                <w:szCs w:val="24"/>
              </w:rPr>
              <w:t>Obs.: Dispõe a ON</w:t>
            </w:r>
            <w:r>
              <w:rPr>
                <w:rFonts w:cstheme="minorHAnsi"/>
                <w:color w:val="FF0000"/>
                <w:sz w:val="24"/>
                <w:szCs w:val="24"/>
              </w:rPr>
              <w:t>-</w:t>
            </w:r>
            <w:r w:rsidRPr="0018533D">
              <w:rPr>
                <w:rFonts w:cstheme="minorHAnsi"/>
                <w:color w:val="FF0000"/>
                <w:sz w:val="24"/>
                <w:szCs w:val="24"/>
              </w:rPr>
              <w:t>AGU 2/2009: “</w:t>
            </w:r>
            <w:r w:rsidRPr="0018533D">
              <w:rPr>
                <w:rFonts w:cstheme="minorHAnsi"/>
                <w:i/>
                <w:iCs/>
                <w:color w:val="FF0000"/>
                <w:sz w:val="24"/>
                <w:szCs w:val="24"/>
              </w:rPr>
              <w:t>os instrumentos dos contratos, convênios e demais ajustes, bem como os respectivos aditivos, devem integrar um único processo administrativo, devidamente autuado em sequência cronológica, numerado, rubricado, contendo cada volume os respectivos termos de abertura e encerramento.”</w:t>
            </w:r>
          </w:p>
        </w:tc>
        <w:tc>
          <w:tcPr>
            <w:tcW w:w="1275" w:type="dxa"/>
          </w:tcPr>
          <w:p w14:paraId="2D2581F6" w14:textId="77777777" w:rsidR="00916648" w:rsidRPr="00106759" w:rsidRDefault="00916648" w:rsidP="00CB11E4">
            <w:pPr>
              <w:autoSpaceDE w:val="0"/>
              <w:autoSpaceDN w:val="0"/>
              <w:adjustRightInd w:val="0"/>
              <w:jc w:val="both"/>
              <w:rPr>
                <w:rFonts w:cstheme="minorHAnsi"/>
                <w:sz w:val="24"/>
                <w:szCs w:val="24"/>
              </w:rPr>
            </w:pPr>
          </w:p>
        </w:tc>
      </w:tr>
      <w:tr w:rsidR="00916648" w:rsidRPr="00106759" w14:paraId="6035CDE6" w14:textId="17E8F8D1" w:rsidTr="00916648">
        <w:tc>
          <w:tcPr>
            <w:tcW w:w="8359" w:type="dxa"/>
          </w:tcPr>
          <w:p w14:paraId="54FF4639" w14:textId="53D57E68" w:rsidR="00916648" w:rsidRPr="00106759" w:rsidRDefault="00916648" w:rsidP="0008175C">
            <w:pPr>
              <w:autoSpaceDE w:val="0"/>
              <w:autoSpaceDN w:val="0"/>
              <w:adjustRightInd w:val="0"/>
              <w:jc w:val="both"/>
              <w:rPr>
                <w:rFonts w:cstheme="minorHAnsi"/>
                <w:sz w:val="24"/>
                <w:szCs w:val="24"/>
              </w:rPr>
            </w:pPr>
            <w:r w:rsidRPr="00106759">
              <w:rPr>
                <w:rFonts w:cstheme="minorHAnsi"/>
                <w:sz w:val="24"/>
                <w:szCs w:val="24"/>
              </w:rPr>
              <w:t xml:space="preserve">2. Consta a solicitação/requisição do objeto, elaborada pelo agente ou setor competente? </w:t>
            </w:r>
          </w:p>
        </w:tc>
        <w:tc>
          <w:tcPr>
            <w:tcW w:w="1275" w:type="dxa"/>
          </w:tcPr>
          <w:p w14:paraId="0611EAA7" w14:textId="77777777" w:rsidR="00916648" w:rsidRPr="00106759" w:rsidRDefault="00916648" w:rsidP="00CB11E4">
            <w:pPr>
              <w:autoSpaceDE w:val="0"/>
              <w:autoSpaceDN w:val="0"/>
              <w:adjustRightInd w:val="0"/>
              <w:jc w:val="both"/>
              <w:rPr>
                <w:rFonts w:cstheme="minorHAnsi"/>
                <w:sz w:val="24"/>
                <w:szCs w:val="24"/>
              </w:rPr>
            </w:pPr>
          </w:p>
        </w:tc>
      </w:tr>
      <w:tr w:rsidR="00916648" w:rsidRPr="00106759" w14:paraId="2D1A9DFB" w14:textId="77777777" w:rsidTr="00916648">
        <w:tc>
          <w:tcPr>
            <w:tcW w:w="8359" w:type="dxa"/>
          </w:tcPr>
          <w:p w14:paraId="5CDA46C4" w14:textId="16CFEFE2" w:rsidR="00916648" w:rsidRPr="00106759" w:rsidRDefault="00916648" w:rsidP="0008175C">
            <w:pPr>
              <w:autoSpaceDE w:val="0"/>
              <w:autoSpaceDN w:val="0"/>
              <w:adjustRightInd w:val="0"/>
              <w:jc w:val="both"/>
              <w:rPr>
                <w:rFonts w:cstheme="minorHAnsi"/>
                <w:sz w:val="24"/>
                <w:szCs w:val="24"/>
              </w:rPr>
            </w:pPr>
            <w:r w:rsidRPr="00106759">
              <w:rPr>
                <w:rFonts w:cstheme="minorHAnsi"/>
                <w:sz w:val="24"/>
                <w:szCs w:val="24"/>
              </w:rPr>
              <w:t>2.1. O objeto requisitado está contemplado no Plano Anual de Contratações</w:t>
            </w:r>
            <w:r>
              <w:rPr>
                <w:rFonts w:cstheme="minorHAnsi"/>
                <w:sz w:val="24"/>
                <w:szCs w:val="24"/>
              </w:rPr>
              <w:t>, de acordo com a IN SEGES nº 1/2019</w:t>
            </w:r>
            <w:r w:rsidRPr="00106759">
              <w:rPr>
                <w:rFonts w:cstheme="minorHAnsi"/>
                <w:sz w:val="24"/>
                <w:szCs w:val="24"/>
              </w:rPr>
              <w:t>?</w:t>
            </w:r>
          </w:p>
        </w:tc>
        <w:tc>
          <w:tcPr>
            <w:tcW w:w="1275" w:type="dxa"/>
          </w:tcPr>
          <w:p w14:paraId="3CD9A817" w14:textId="77777777" w:rsidR="00916648" w:rsidRPr="00106759" w:rsidRDefault="00916648" w:rsidP="00CB11E4">
            <w:pPr>
              <w:autoSpaceDE w:val="0"/>
              <w:autoSpaceDN w:val="0"/>
              <w:adjustRightInd w:val="0"/>
              <w:jc w:val="both"/>
              <w:rPr>
                <w:rFonts w:cstheme="minorHAnsi"/>
                <w:sz w:val="24"/>
                <w:szCs w:val="24"/>
              </w:rPr>
            </w:pPr>
          </w:p>
        </w:tc>
      </w:tr>
      <w:tr w:rsidR="007A7B25" w:rsidRPr="00106759" w14:paraId="6C07D76C" w14:textId="77777777" w:rsidTr="00916648">
        <w:tc>
          <w:tcPr>
            <w:tcW w:w="8359" w:type="dxa"/>
          </w:tcPr>
          <w:p w14:paraId="7615F75E" w14:textId="3D1DF20E" w:rsidR="00C22E4C" w:rsidRPr="00027705" w:rsidRDefault="00BC1916" w:rsidP="00C22E4C">
            <w:pPr>
              <w:autoSpaceDE w:val="0"/>
              <w:autoSpaceDN w:val="0"/>
              <w:adjustRightInd w:val="0"/>
              <w:jc w:val="both"/>
              <w:rPr>
                <w:rFonts w:cstheme="minorHAnsi"/>
                <w:sz w:val="24"/>
                <w:szCs w:val="24"/>
              </w:rPr>
            </w:pPr>
            <w:r w:rsidRPr="00027705">
              <w:rPr>
                <w:rFonts w:cstheme="minorHAnsi"/>
                <w:sz w:val="24"/>
                <w:szCs w:val="24"/>
              </w:rPr>
              <w:t>3</w:t>
            </w:r>
            <w:r w:rsidR="00C22E4C" w:rsidRPr="00027705">
              <w:rPr>
                <w:rFonts w:cstheme="minorHAnsi"/>
                <w:sz w:val="24"/>
                <w:szCs w:val="24"/>
              </w:rPr>
              <w:t>. Fo</w:t>
            </w:r>
            <w:r w:rsidR="00C50606" w:rsidRPr="00027705">
              <w:rPr>
                <w:rFonts w:cstheme="minorHAnsi"/>
                <w:sz w:val="24"/>
                <w:szCs w:val="24"/>
              </w:rPr>
              <w:t>ram</w:t>
            </w:r>
            <w:r w:rsidR="00C22E4C" w:rsidRPr="00027705">
              <w:rPr>
                <w:rFonts w:cstheme="minorHAnsi"/>
                <w:sz w:val="24"/>
                <w:szCs w:val="24"/>
              </w:rPr>
              <w:t xml:space="preserve"> elaborado</w:t>
            </w:r>
            <w:r w:rsidR="00C50606" w:rsidRPr="00027705">
              <w:rPr>
                <w:rFonts w:cstheme="minorHAnsi"/>
                <w:sz w:val="24"/>
                <w:szCs w:val="24"/>
              </w:rPr>
              <w:t>s</w:t>
            </w:r>
            <w:r w:rsidR="00C22E4C" w:rsidRPr="00027705">
              <w:rPr>
                <w:rFonts w:cstheme="minorHAnsi"/>
                <w:sz w:val="24"/>
                <w:szCs w:val="24"/>
              </w:rPr>
              <w:t xml:space="preserve"> e juntado</w:t>
            </w:r>
            <w:r w:rsidR="00C50606" w:rsidRPr="00027705">
              <w:rPr>
                <w:rFonts w:cstheme="minorHAnsi"/>
                <w:sz w:val="24"/>
                <w:szCs w:val="24"/>
              </w:rPr>
              <w:t>s</w:t>
            </w:r>
            <w:r w:rsidR="00C22E4C" w:rsidRPr="00027705">
              <w:rPr>
                <w:rFonts w:cstheme="minorHAnsi"/>
                <w:sz w:val="24"/>
                <w:szCs w:val="24"/>
              </w:rPr>
              <w:t xml:space="preserve"> ao processo os Estudos </w:t>
            </w:r>
            <w:r w:rsidRPr="00027705">
              <w:rPr>
                <w:rFonts w:cstheme="minorHAnsi"/>
                <w:sz w:val="24"/>
                <w:szCs w:val="24"/>
              </w:rPr>
              <w:t xml:space="preserve">Técnicos </w:t>
            </w:r>
            <w:r w:rsidR="00C22E4C" w:rsidRPr="00027705">
              <w:rPr>
                <w:rFonts w:cstheme="minorHAnsi"/>
                <w:sz w:val="24"/>
                <w:szCs w:val="24"/>
              </w:rPr>
              <w:t>Preliminares, conforme as diretrizes constantes da IN SEGES/MP nº 40/2020?</w:t>
            </w:r>
          </w:p>
          <w:p w14:paraId="566FC349" w14:textId="77777777" w:rsidR="00027705" w:rsidRDefault="00C22E4C" w:rsidP="00027705">
            <w:pPr>
              <w:autoSpaceDE w:val="0"/>
              <w:autoSpaceDN w:val="0"/>
              <w:adjustRightInd w:val="0"/>
              <w:jc w:val="both"/>
              <w:rPr>
                <w:rFonts w:cstheme="minorHAnsi"/>
                <w:color w:val="FF0000"/>
                <w:sz w:val="24"/>
                <w:szCs w:val="24"/>
              </w:rPr>
            </w:pPr>
            <w:r w:rsidRPr="00027705">
              <w:rPr>
                <w:rFonts w:cstheme="minorHAnsi"/>
                <w:color w:val="FF0000"/>
                <w:sz w:val="24"/>
                <w:szCs w:val="24"/>
              </w:rPr>
              <w:t xml:space="preserve">Obs.1:  O art. 8º, I da IN SEGES/ME nº 40/2020 estabelece que é facultada a elaboração dos Estudos Preliminares nas hipóteses dos incisos I, II, III, IV e XI do art. 24 da Lei nº 8.666, de 21 de junho de 1993. </w:t>
            </w:r>
          </w:p>
          <w:p w14:paraId="22BCDDC8" w14:textId="336F7888" w:rsidR="007A7B25" w:rsidRPr="00027705" w:rsidRDefault="00C22E4C" w:rsidP="00027705">
            <w:pPr>
              <w:autoSpaceDE w:val="0"/>
              <w:autoSpaceDN w:val="0"/>
              <w:adjustRightInd w:val="0"/>
              <w:jc w:val="both"/>
              <w:rPr>
                <w:rFonts w:cstheme="minorHAnsi"/>
                <w:sz w:val="24"/>
                <w:szCs w:val="24"/>
              </w:rPr>
            </w:pPr>
            <w:r w:rsidRPr="00027705">
              <w:rPr>
                <w:rFonts w:cstheme="minorHAnsi"/>
                <w:color w:val="FF0000"/>
                <w:sz w:val="24"/>
                <w:szCs w:val="24"/>
              </w:rPr>
              <w:t>Obs.2:  Nas contratações que utilizam especificações padronizadas estabelecidos nos Cadernos de Logística divulgados pela Secretaria de Gestão, poderão ser produzidos somente os elementos que não forem estabelecidos como padrão (art. 7º, §3º da IN SEGES/ME nº 40/2020)</w:t>
            </w:r>
          </w:p>
        </w:tc>
        <w:tc>
          <w:tcPr>
            <w:tcW w:w="1275" w:type="dxa"/>
          </w:tcPr>
          <w:p w14:paraId="42951307" w14:textId="77777777" w:rsidR="007A7B25" w:rsidRPr="007A7B25" w:rsidRDefault="007A7B25" w:rsidP="00CB11E4">
            <w:pPr>
              <w:autoSpaceDE w:val="0"/>
              <w:autoSpaceDN w:val="0"/>
              <w:adjustRightInd w:val="0"/>
              <w:jc w:val="both"/>
              <w:rPr>
                <w:rFonts w:cstheme="minorHAnsi"/>
                <w:strike/>
                <w:sz w:val="24"/>
                <w:szCs w:val="24"/>
              </w:rPr>
            </w:pPr>
          </w:p>
        </w:tc>
      </w:tr>
      <w:tr w:rsidR="007A7B25" w:rsidRPr="00106759" w14:paraId="2480C9B0" w14:textId="77777777" w:rsidTr="00916648">
        <w:tc>
          <w:tcPr>
            <w:tcW w:w="8359" w:type="dxa"/>
          </w:tcPr>
          <w:p w14:paraId="03E028F3" w14:textId="294AE65F" w:rsidR="007A7B25" w:rsidRPr="00027705" w:rsidRDefault="00D31351" w:rsidP="00C22E4C">
            <w:pPr>
              <w:autoSpaceDE w:val="0"/>
              <w:autoSpaceDN w:val="0"/>
              <w:adjustRightInd w:val="0"/>
              <w:jc w:val="both"/>
              <w:rPr>
                <w:rFonts w:cstheme="minorHAnsi"/>
                <w:strike/>
                <w:sz w:val="24"/>
                <w:szCs w:val="24"/>
              </w:rPr>
            </w:pPr>
            <w:r w:rsidRPr="00027705">
              <w:rPr>
                <w:rFonts w:cstheme="minorHAnsi"/>
                <w:sz w:val="24"/>
                <w:szCs w:val="24"/>
              </w:rPr>
              <w:t>3</w:t>
            </w:r>
            <w:r w:rsidR="00C22E4C" w:rsidRPr="00027705">
              <w:rPr>
                <w:rFonts w:cstheme="minorHAnsi"/>
                <w:sz w:val="24"/>
                <w:szCs w:val="24"/>
              </w:rPr>
              <w:t xml:space="preserve">.1. Os estudos desenvolvidos atenderam a todas as exigências do art. 7º da IN SEGES </w:t>
            </w:r>
            <w:r w:rsidR="008D4BA6" w:rsidRPr="00027705">
              <w:rPr>
                <w:rFonts w:cstheme="minorHAnsi"/>
                <w:sz w:val="24"/>
                <w:szCs w:val="24"/>
              </w:rPr>
              <w:t>40/2020</w:t>
            </w:r>
            <w:r w:rsidR="00C22E4C" w:rsidRPr="00027705">
              <w:rPr>
                <w:rFonts w:cstheme="minorHAnsi"/>
                <w:sz w:val="24"/>
                <w:szCs w:val="24"/>
              </w:rPr>
              <w:t xml:space="preserve">? </w:t>
            </w:r>
          </w:p>
        </w:tc>
        <w:tc>
          <w:tcPr>
            <w:tcW w:w="1275" w:type="dxa"/>
          </w:tcPr>
          <w:p w14:paraId="498F962B" w14:textId="77777777" w:rsidR="007A7B25" w:rsidRPr="007A7B25" w:rsidRDefault="007A7B25" w:rsidP="00CB11E4">
            <w:pPr>
              <w:autoSpaceDE w:val="0"/>
              <w:autoSpaceDN w:val="0"/>
              <w:adjustRightInd w:val="0"/>
              <w:jc w:val="both"/>
              <w:rPr>
                <w:rFonts w:cstheme="minorHAnsi"/>
                <w:strike/>
                <w:sz w:val="24"/>
                <w:szCs w:val="24"/>
              </w:rPr>
            </w:pPr>
          </w:p>
        </w:tc>
      </w:tr>
      <w:tr w:rsidR="007A7B25" w:rsidRPr="00106759" w14:paraId="483C4B83" w14:textId="77777777" w:rsidTr="00916648">
        <w:tc>
          <w:tcPr>
            <w:tcW w:w="8359" w:type="dxa"/>
          </w:tcPr>
          <w:p w14:paraId="7BC62526" w14:textId="2A24095B" w:rsidR="007A7B25" w:rsidRPr="00027705" w:rsidRDefault="00D31351" w:rsidP="0008175C">
            <w:pPr>
              <w:autoSpaceDE w:val="0"/>
              <w:autoSpaceDN w:val="0"/>
              <w:adjustRightInd w:val="0"/>
              <w:jc w:val="both"/>
              <w:rPr>
                <w:rFonts w:cstheme="minorHAnsi"/>
                <w:strike/>
                <w:sz w:val="24"/>
                <w:szCs w:val="24"/>
              </w:rPr>
            </w:pPr>
            <w:r w:rsidRPr="00027705">
              <w:rPr>
                <w:rFonts w:cstheme="minorHAnsi"/>
                <w:sz w:val="24"/>
                <w:szCs w:val="24"/>
              </w:rPr>
              <w:t>3</w:t>
            </w:r>
            <w:r w:rsidR="00C22E4C" w:rsidRPr="00027705">
              <w:rPr>
                <w:rFonts w:cstheme="minorHAnsi"/>
                <w:sz w:val="24"/>
                <w:szCs w:val="24"/>
              </w:rPr>
              <w:t>.2. A não previsão, nos estudos preliminares, de qualquer dos conteúdos do art. 7º da IN SEGES/ME nº 40/2020 foi devidamente justificada no próprio documento? (art. 7º, §2º, da IN SEGES/ME nº 40/2020)</w:t>
            </w:r>
          </w:p>
        </w:tc>
        <w:tc>
          <w:tcPr>
            <w:tcW w:w="1275" w:type="dxa"/>
          </w:tcPr>
          <w:p w14:paraId="7B8C1631" w14:textId="77777777" w:rsidR="007A7B25" w:rsidRPr="007A7B25" w:rsidRDefault="007A7B25" w:rsidP="00CB11E4">
            <w:pPr>
              <w:autoSpaceDE w:val="0"/>
              <w:autoSpaceDN w:val="0"/>
              <w:adjustRightInd w:val="0"/>
              <w:jc w:val="both"/>
              <w:rPr>
                <w:rFonts w:cstheme="minorHAnsi"/>
                <w:strike/>
                <w:sz w:val="24"/>
                <w:szCs w:val="24"/>
              </w:rPr>
            </w:pPr>
          </w:p>
        </w:tc>
      </w:tr>
      <w:tr w:rsidR="00027705" w:rsidRPr="00106759" w14:paraId="0A8E3DE9" w14:textId="77777777" w:rsidTr="00916648">
        <w:tc>
          <w:tcPr>
            <w:tcW w:w="8359" w:type="dxa"/>
          </w:tcPr>
          <w:p w14:paraId="363984D1" w14:textId="5EB0A32C" w:rsidR="00027705" w:rsidRPr="00027705" w:rsidRDefault="00027705" w:rsidP="00027705">
            <w:pPr>
              <w:autoSpaceDE w:val="0"/>
              <w:autoSpaceDN w:val="0"/>
              <w:adjustRightInd w:val="0"/>
              <w:jc w:val="both"/>
              <w:rPr>
                <w:rFonts w:cstheme="minorHAnsi"/>
                <w:sz w:val="24"/>
                <w:szCs w:val="24"/>
                <w:highlight w:val="yellow"/>
              </w:rPr>
            </w:pPr>
            <w:r w:rsidRPr="00027705">
              <w:rPr>
                <w:rStyle w:val="eop"/>
                <w:sz w:val="24"/>
                <w:szCs w:val="24"/>
                <w:highlight w:val="yellow"/>
              </w:rPr>
              <w:t>3.3.</w:t>
            </w:r>
            <w:r w:rsidRPr="00027705">
              <w:rPr>
                <w:rStyle w:val="eop"/>
                <w:highlight w:val="yellow"/>
              </w:rPr>
              <w:t xml:space="preserve"> </w:t>
            </w:r>
            <w:r w:rsidRPr="00027705">
              <w:rPr>
                <w:rStyle w:val="eop"/>
                <w:sz w:val="24"/>
                <w:szCs w:val="24"/>
                <w:highlight w:val="yellow"/>
              </w:rPr>
              <w:t>Consta a aprovação do Estudo Técnico Preliminar pela autoridade competente? (art. 14, inciso II, do Decreto n.º 10.024/19)</w:t>
            </w:r>
            <w:r>
              <w:rPr>
                <w:rFonts w:cstheme="minorHAnsi"/>
                <w:sz w:val="24"/>
                <w:szCs w:val="24"/>
                <w:highlight w:val="yellow"/>
              </w:rPr>
              <w:tab/>
            </w:r>
          </w:p>
        </w:tc>
        <w:tc>
          <w:tcPr>
            <w:tcW w:w="1275" w:type="dxa"/>
          </w:tcPr>
          <w:p w14:paraId="57A90769" w14:textId="77777777" w:rsidR="00027705" w:rsidRPr="007A7B25" w:rsidRDefault="00027705" w:rsidP="00CB11E4">
            <w:pPr>
              <w:autoSpaceDE w:val="0"/>
              <w:autoSpaceDN w:val="0"/>
              <w:adjustRightInd w:val="0"/>
              <w:jc w:val="both"/>
              <w:rPr>
                <w:rFonts w:cstheme="minorHAnsi"/>
                <w:strike/>
                <w:sz w:val="24"/>
                <w:szCs w:val="24"/>
              </w:rPr>
            </w:pPr>
          </w:p>
        </w:tc>
      </w:tr>
      <w:tr w:rsidR="00916648" w:rsidRPr="00106759" w14:paraId="0900BFDF" w14:textId="2A41D678" w:rsidTr="00916648">
        <w:tc>
          <w:tcPr>
            <w:tcW w:w="8359" w:type="dxa"/>
          </w:tcPr>
          <w:p w14:paraId="0D6579DD" w14:textId="45667CEE" w:rsidR="00916648" w:rsidRPr="00106759" w:rsidRDefault="00D31351" w:rsidP="00881AA1">
            <w:pPr>
              <w:autoSpaceDE w:val="0"/>
              <w:autoSpaceDN w:val="0"/>
              <w:adjustRightInd w:val="0"/>
              <w:jc w:val="both"/>
              <w:rPr>
                <w:rFonts w:cstheme="minorHAnsi"/>
                <w:sz w:val="24"/>
                <w:szCs w:val="24"/>
              </w:rPr>
            </w:pPr>
            <w:r>
              <w:rPr>
                <w:rFonts w:cstheme="minorHAnsi"/>
                <w:sz w:val="24"/>
                <w:szCs w:val="24"/>
              </w:rPr>
              <w:lastRenderedPageBreak/>
              <w:t>4</w:t>
            </w:r>
            <w:r w:rsidR="00916648" w:rsidRPr="00106759">
              <w:rPr>
                <w:rFonts w:cstheme="minorHAnsi"/>
                <w:sz w:val="24"/>
                <w:szCs w:val="24"/>
              </w:rPr>
              <w:t>. Há termo de referência ou projeto básico elaborado pelo setor requisitante? (art. 9º, I</w:t>
            </w:r>
            <w:r w:rsidR="00881AA1">
              <w:rPr>
                <w:rFonts w:cstheme="minorHAnsi"/>
                <w:sz w:val="24"/>
                <w:szCs w:val="24"/>
              </w:rPr>
              <w:t xml:space="preserve">I </w:t>
            </w:r>
            <w:r w:rsidR="00916648" w:rsidRPr="00106759">
              <w:rPr>
                <w:rFonts w:cstheme="minorHAnsi"/>
                <w:sz w:val="24"/>
                <w:szCs w:val="24"/>
              </w:rPr>
              <w:t xml:space="preserve">do Decreto </w:t>
            </w:r>
            <w:r w:rsidR="00881AA1">
              <w:rPr>
                <w:rFonts w:cstheme="minorHAnsi"/>
                <w:sz w:val="24"/>
                <w:szCs w:val="24"/>
              </w:rPr>
              <w:t>10.024/19</w:t>
            </w:r>
            <w:r w:rsidR="00916648" w:rsidRPr="00106759">
              <w:rPr>
                <w:rFonts w:cstheme="minorHAnsi"/>
                <w:sz w:val="24"/>
                <w:szCs w:val="24"/>
              </w:rPr>
              <w:t>; art. 6º, IX, art. 7º, I e II, §2º, I, §7º e art. 14 da Lei 8.666/93)</w:t>
            </w:r>
          </w:p>
        </w:tc>
        <w:tc>
          <w:tcPr>
            <w:tcW w:w="1275" w:type="dxa"/>
          </w:tcPr>
          <w:p w14:paraId="7E5C4344" w14:textId="77777777" w:rsidR="00916648" w:rsidRPr="00106759" w:rsidRDefault="00916648" w:rsidP="00CB11E4">
            <w:pPr>
              <w:autoSpaceDE w:val="0"/>
              <w:autoSpaceDN w:val="0"/>
              <w:adjustRightInd w:val="0"/>
              <w:jc w:val="both"/>
              <w:rPr>
                <w:rFonts w:cstheme="minorHAnsi"/>
                <w:sz w:val="24"/>
                <w:szCs w:val="24"/>
              </w:rPr>
            </w:pPr>
          </w:p>
        </w:tc>
      </w:tr>
      <w:tr w:rsidR="00916648" w:rsidRPr="00106759" w14:paraId="61F17061" w14:textId="6C7C6B00" w:rsidTr="00916648">
        <w:tc>
          <w:tcPr>
            <w:tcW w:w="8359" w:type="dxa"/>
          </w:tcPr>
          <w:p w14:paraId="17097C47" w14:textId="5CC92F52" w:rsidR="00916648" w:rsidRPr="00106759" w:rsidRDefault="00D31351" w:rsidP="00F219D6">
            <w:pPr>
              <w:autoSpaceDE w:val="0"/>
              <w:autoSpaceDN w:val="0"/>
              <w:adjustRightInd w:val="0"/>
              <w:jc w:val="both"/>
              <w:rPr>
                <w:rFonts w:cstheme="minorHAnsi"/>
                <w:sz w:val="24"/>
                <w:szCs w:val="24"/>
              </w:rPr>
            </w:pPr>
            <w:r>
              <w:rPr>
                <w:rFonts w:cstheme="minorHAnsi"/>
                <w:sz w:val="24"/>
                <w:szCs w:val="24"/>
              </w:rPr>
              <w:t>4</w:t>
            </w:r>
            <w:r w:rsidR="00916648" w:rsidRPr="00106759">
              <w:rPr>
                <w:rFonts w:cstheme="minorHAnsi"/>
                <w:sz w:val="24"/>
                <w:szCs w:val="24"/>
              </w:rPr>
              <w:t>.1. O documento contendo as especificações e a quantidade estimada do bem observou as diretrizes do art. 15 da Lei 8.666/93?</w:t>
            </w:r>
          </w:p>
        </w:tc>
        <w:tc>
          <w:tcPr>
            <w:tcW w:w="1275" w:type="dxa"/>
          </w:tcPr>
          <w:p w14:paraId="33A45DAF" w14:textId="77777777" w:rsidR="00916648" w:rsidRPr="00106759" w:rsidRDefault="00916648" w:rsidP="00CB11E4">
            <w:pPr>
              <w:autoSpaceDE w:val="0"/>
              <w:autoSpaceDN w:val="0"/>
              <w:adjustRightInd w:val="0"/>
              <w:jc w:val="both"/>
              <w:rPr>
                <w:rFonts w:cstheme="minorHAnsi"/>
                <w:sz w:val="24"/>
                <w:szCs w:val="24"/>
              </w:rPr>
            </w:pPr>
          </w:p>
        </w:tc>
      </w:tr>
      <w:tr w:rsidR="00916648" w:rsidRPr="00106759" w14:paraId="6640C289" w14:textId="77777777" w:rsidTr="00916648">
        <w:tc>
          <w:tcPr>
            <w:tcW w:w="8359" w:type="dxa"/>
          </w:tcPr>
          <w:p w14:paraId="7C74A2F0" w14:textId="23CAD183" w:rsidR="00916648" w:rsidRPr="00C83F8C" w:rsidRDefault="00D31351" w:rsidP="00F219D6">
            <w:pPr>
              <w:autoSpaceDE w:val="0"/>
              <w:autoSpaceDN w:val="0"/>
              <w:adjustRightInd w:val="0"/>
              <w:jc w:val="both"/>
              <w:rPr>
                <w:rFonts w:cstheme="minorHAnsi"/>
                <w:sz w:val="24"/>
                <w:szCs w:val="24"/>
              </w:rPr>
            </w:pPr>
            <w:r>
              <w:rPr>
                <w:rFonts w:cstheme="minorHAnsi"/>
                <w:sz w:val="24"/>
                <w:szCs w:val="24"/>
              </w:rPr>
              <w:t>4</w:t>
            </w:r>
            <w:r w:rsidR="00916648">
              <w:rPr>
                <w:rFonts w:cstheme="minorHAnsi"/>
                <w:sz w:val="24"/>
                <w:szCs w:val="24"/>
              </w:rPr>
              <w:t>.2</w:t>
            </w:r>
            <w:r w:rsidR="00916648" w:rsidRPr="00106759">
              <w:rPr>
                <w:rFonts w:cstheme="minorHAnsi"/>
                <w:sz w:val="24"/>
                <w:szCs w:val="24"/>
              </w:rPr>
              <w:t>. Foram utilizados os modelos de minutas padronizados de Termos de Referência ou de Projeto Básico da Advocacia-Geral União?</w:t>
            </w:r>
            <w:r w:rsidR="00916648">
              <w:rPr>
                <w:rFonts w:cstheme="minorHAnsi"/>
                <w:sz w:val="24"/>
                <w:szCs w:val="24"/>
              </w:rPr>
              <w:t xml:space="preserve"> (Enunciado nº 6 do Manual de Boas Práticas Consultivas).</w:t>
            </w:r>
            <w:r w:rsidR="00916648" w:rsidRPr="00106759">
              <w:rPr>
                <w:rFonts w:cstheme="minorHAnsi"/>
                <w:strike/>
                <w:sz w:val="24"/>
                <w:szCs w:val="24"/>
              </w:rPr>
              <w:t xml:space="preserve"> </w:t>
            </w:r>
          </w:p>
        </w:tc>
        <w:tc>
          <w:tcPr>
            <w:tcW w:w="1275" w:type="dxa"/>
          </w:tcPr>
          <w:p w14:paraId="219BDC42" w14:textId="77777777" w:rsidR="00916648" w:rsidRPr="00C83F8C" w:rsidRDefault="00916648" w:rsidP="00CB11E4">
            <w:pPr>
              <w:autoSpaceDE w:val="0"/>
              <w:autoSpaceDN w:val="0"/>
              <w:adjustRightInd w:val="0"/>
              <w:jc w:val="both"/>
              <w:rPr>
                <w:rFonts w:cstheme="minorHAnsi"/>
                <w:sz w:val="24"/>
                <w:szCs w:val="24"/>
              </w:rPr>
            </w:pPr>
          </w:p>
        </w:tc>
      </w:tr>
      <w:tr w:rsidR="00916648" w:rsidRPr="00106759" w14:paraId="7538E132" w14:textId="77777777" w:rsidTr="00916648">
        <w:tc>
          <w:tcPr>
            <w:tcW w:w="8359" w:type="dxa"/>
          </w:tcPr>
          <w:p w14:paraId="66626820" w14:textId="0B0254CE" w:rsidR="00916648" w:rsidRPr="00106759" w:rsidRDefault="00D31351" w:rsidP="00C83F8C">
            <w:pPr>
              <w:autoSpaceDE w:val="0"/>
              <w:autoSpaceDN w:val="0"/>
              <w:adjustRightInd w:val="0"/>
              <w:jc w:val="both"/>
              <w:rPr>
                <w:rFonts w:cstheme="minorHAnsi"/>
                <w:sz w:val="24"/>
                <w:szCs w:val="24"/>
              </w:rPr>
            </w:pPr>
            <w:r>
              <w:rPr>
                <w:rFonts w:cstheme="minorHAnsi"/>
                <w:sz w:val="24"/>
                <w:szCs w:val="24"/>
              </w:rPr>
              <w:t>4</w:t>
            </w:r>
            <w:r w:rsidR="00916648">
              <w:rPr>
                <w:rFonts w:cstheme="minorHAnsi"/>
                <w:sz w:val="24"/>
                <w:szCs w:val="24"/>
              </w:rPr>
              <w:t>.2</w:t>
            </w:r>
            <w:r w:rsidR="00916648" w:rsidRPr="00106759">
              <w:rPr>
                <w:rFonts w:cstheme="minorHAnsi"/>
                <w:sz w:val="24"/>
                <w:szCs w:val="24"/>
              </w:rPr>
              <w:t>.1. Foram justificadas e destacadas visualmente, no processo, eventuais alterações ou não utilização do modelo de termo de referência da AGU?</w:t>
            </w:r>
          </w:p>
        </w:tc>
        <w:tc>
          <w:tcPr>
            <w:tcW w:w="1275" w:type="dxa"/>
          </w:tcPr>
          <w:p w14:paraId="684189A3" w14:textId="77777777" w:rsidR="00916648" w:rsidRPr="00106759" w:rsidRDefault="00916648" w:rsidP="00CB11E4">
            <w:pPr>
              <w:autoSpaceDE w:val="0"/>
              <w:autoSpaceDN w:val="0"/>
              <w:adjustRightInd w:val="0"/>
              <w:jc w:val="both"/>
              <w:rPr>
                <w:rFonts w:cstheme="minorHAnsi"/>
                <w:sz w:val="24"/>
                <w:szCs w:val="24"/>
              </w:rPr>
            </w:pPr>
          </w:p>
        </w:tc>
      </w:tr>
      <w:tr w:rsidR="00916648" w:rsidRPr="00106759" w14:paraId="0F162504" w14:textId="6758CFFA" w:rsidTr="00916648">
        <w:tc>
          <w:tcPr>
            <w:tcW w:w="8359" w:type="dxa"/>
          </w:tcPr>
          <w:p w14:paraId="4A894483" w14:textId="79BBB4E1" w:rsidR="00916648" w:rsidRPr="00106759" w:rsidRDefault="00D31351" w:rsidP="00D14478">
            <w:pPr>
              <w:autoSpaceDE w:val="0"/>
              <w:autoSpaceDN w:val="0"/>
              <w:adjustRightInd w:val="0"/>
              <w:jc w:val="both"/>
              <w:rPr>
                <w:rFonts w:cstheme="minorHAnsi"/>
                <w:sz w:val="24"/>
                <w:szCs w:val="24"/>
              </w:rPr>
            </w:pPr>
            <w:r>
              <w:rPr>
                <w:rFonts w:cstheme="minorHAnsi"/>
                <w:sz w:val="24"/>
                <w:szCs w:val="24"/>
              </w:rPr>
              <w:t>5</w:t>
            </w:r>
            <w:r w:rsidR="00916648" w:rsidRPr="00106759">
              <w:rPr>
                <w:rFonts w:cstheme="minorHAnsi"/>
                <w:sz w:val="24"/>
                <w:szCs w:val="24"/>
              </w:rPr>
              <w:t>. Encontra-se prevista a exigência de amostra ou prova de conceito para algum item?</w:t>
            </w:r>
          </w:p>
        </w:tc>
        <w:tc>
          <w:tcPr>
            <w:tcW w:w="1275" w:type="dxa"/>
          </w:tcPr>
          <w:p w14:paraId="0FD301CD" w14:textId="77777777" w:rsidR="00916648" w:rsidRPr="00106759" w:rsidRDefault="00916648" w:rsidP="00CB11E4">
            <w:pPr>
              <w:autoSpaceDE w:val="0"/>
              <w:autoSpaceDN w:val="0"/>
              <w:adjustRightInd w:val="0"/>
              <w:jc w:val="both"/>
              <w:rPr>
                <w:rFonts w:cstheme="minorHAnsi"/>
                <w:sz w:val="24"/>
                <w:szCs w:val="24"/>
              </w:rPr>
            </w:pPr>
          </w:p>
        </w:tc>
      </w:tr>
      <w:tr w:rsidR="00916648" w:rsidRPr="00106759" w14:paraId="2368B485" w14:textId="6B29DC82" w:rsidTr="00916648">
        <w:tc>
          <w:tcPr>
            <w:tcW w:w="8359" w:type="dxa"/>
          </w:tcPr>
          <w:p w14:paraId="7AF851D8" w14:textId="5D334E55" w:rsidR="00916648" w:rsidRPr="00106759" w:rsidRDefault="00D31351" w:rsidP="00D14478">
            <w:pPr>
              <w:autoSpaceDE w:val="0"/>
              <w:autoSpaceDN w:val="0"/>
              <w:adjustRightInd w:val="0"/>
              <w:jc w:val="both"/>
              <w:rPr>
                <w:rFonts w:cstheme="minorHAnsi"/>
                <w:sz w:val="24"/>
                <w:szCs w:val="24"/>
              </w:rPr>
            </w:pPr>
            <w:r>
              <w:rPr>
                <w:rFonts w:cstheme="minorHAnsi"/>
                <w:sz w:val="24"/>
                <w:szCs w:val="24"/>
              </w:rPr>
              <w:t>5</w:t>
            </w:r>
            <w:r w:rsidR="00916648" w:rsidRPr="00106759">
              <w:rPr>
                <w:rFonts w:cstheme="minorHAnsi"/>
                <w:sz w:val="24"/>
                <w:szCs w:val="24"/>
              </w:rPr>
              <w:t>.1. A exigência está clara, precisa e acompanhada de metodologia de análise?</w:t>
            </w:r>
          </w:p>
        </w:tc>
        <w:tc>
          <w:tcPr>
            <w:tcW w:w="1275" w:type="dxa"/>
          </w:tcPr>
          <w:p w14:paraId="471BDAF8" w14:textId="77777777" w:rsidR="00916648" w:rsidRPr="00106759" w:rsidRDefault="00916648" w:rsidP="00CB11E4">
            <w:pPr>
              <w:autoSpaceDE w:val="0"/>
              <w:autoSpaceDN w:val="0"/>
              <w:adjustRightInd w:val="0"/>
              <w:jc w:val="both"/>
              <w:rPr>
                <w:rFonts w:cstheme="minorHAnsi"/>
                <w:sz w:val="24"/>
                <w:szCs w:val="24"/>
              </w:rPr>
            </w:pPr>
          </w:p>
        </w:tc>
      </w:tr>
      <w:tr w:rsidR="00916648" w:rsidRPr="00106759" w14:paraId="66183E8F" w14:textId="2397FE5E" w:rsidTr="00916648">
        <w:tc>
          <w:tcPr>
            <w:tcW w:w="8359" w:type="dxa"/>
          </w:tcPr>
          <w:p w14:paraId="6320382F" w14:textId="0267A00F" w:rsidR="00916648" w:rsidRPr="00106759" w:rsidRDefault="00D31351" w:rsidP="00E14FCE">
            <w:pPr>
              <w:jc w:val="both"/>
              <w:rPr>
                <w:rFonts w:cstheme="minorHAnsi"/>
                <w:sz w:val="24"/>
                <w:szCs w:val="24"/>
              </w:rPr>
            </w:pPr>
            <w:r>
              <w:rPr>
                <w:rFonts w:cstheme="minorHAnsi"/>
                <w:sz w:val="24"/>
                <w:szCs w:val="24"/>
              </w:rPr>
              <w:t>6</w:t>
            </w:r>
            <w:r w:rsidR="00916648" w:rsidRPr="00106759">
              <w:rPr>
                <w:rFonts w:cstheme="minorHAnsi"/>
                <w:sz w:val="24"/>
                <w:szCs w:val="24"/>
              </w:rPr>
              <w:t>. Houve consulta ao “Guia Nacional de Licitações Sustentáveis”, da CGU/AGU, com manifestação sobre práticas e/ou critérios de sustentabilidade economicamente viáveis adotados na contratação? (IN/SEGES 1/2010, art. 5º</w:t>
            </w:r>
            <w:r w:rsidR="00916648">
              <w:rPr>
                <w:rFonts w:cstheme="minorHAnsi"/>
                <w:sz w:val="24"/>
                <w:szCs w:val="24"/>
              </w:rPr>
              <w:t>)</w:t>
            </w:r>
          </w:p>
        </w:tc>
        <w:tc>
          <w:tcPr>
            <w:tcW w:w="1275" w:type="dxa"/>
          </w:tcPr>
          <w:p w14:paraId="67661760" w14:textId="77777777" w:rsidR="00916648" w:rsidRPr="00106759" w:rsidRDefault="00916648" w:rsidP="00CB11E4">
            <w:pPr>
              <w:jc w:val="both"/>
              <w:rPr>
                <w:rFonts w:cstheme="minorHAnsi"/>
                <w:sz w:val="24"/>
                <w:szCs w:val="24"/>
              </w:rPr>
            </w:pPr>
          </w:p>
        </w:tc>
      </w:tr>
      <w:tr w:rsidR="00916648" w:rsidRPr="00106759" w14:paraId="32044324" w14:textId="40577D8B" w:rsidTr="00916648">
        <w:tc>
          <w:tcPr>
            <w:tcW w:w="8359" w:type="dxa"/>
          </w:tcPr>
          <w:p w14:paraId="17123EEA" w14:textId="6C2C3E17" w:rsidR="00916648" w:rsidRPr="00106759" w:rsidRDefault="00D31351" w:rsidP="00881AA1">
            <w:pPr>
              <w:autoSpaceDE w:val="0"/>
              <w:autoSpaceDN w:val="0"/>
              <w:adjustRightInd w:val="0"/>
              <w:jc w:val="both"/>
              <w:rPr>
                <w:rFonts w:cstheme="minorHAnsi"/>
                <w:sz w:val="24"/>
                <w:szCs w:val="24"/>
              </w:rPr>
            </w:pPr>
            <w:r>
              <w:rPr>
                <w:rFonts w:cstheme="minorHAnsi"/>
                <w:sz w:val="24"/>
                <w:szCs w:val="24"/>
              </w:rPr>
              <w:t>7</w:t>
            </w:r>
            <w:r w:rsidR="00916648" w:rsidRPr="00106759">
              <w:rPr>
                <w:rFonts w:cstheme="minorHAnsi"/>
                <w:sz w:val="24"/>
                <w:szCs w:val="24"/>
              </w:rPr>
              <w:t xml:space="preserve">. Consta a aprovação do termo de referência ou do projeto básico pela autoridade competente? (art. </w:t>
            </w:r>
            <w:r w:rsidR="00881AA1">
              <w:rPr>
                <w:rFonts w:cstheme="minorHAnsi"/>
                <w:sz w:val="24"/>
                <w:szCs w:val="24"/>
              </w:rPr>
              <w:t>14</w:t>
            </w:r>
            <w:r w:rsidR="00916648" w:rsidRPr="00106759">
              <w:rPr>
                <w:rFonts w:cstheme="minorHAnsi"/>
                <w:sz w:val="24"/>
                <w:szCs w:val="24"/>
              </w:rPr>
              <w:t xml:space="preserve">, II, do Decreto </w:t>
            </w:r>
            <w:r w:rsidR="00881AA1">
              <w:rPr>
                <w:rFonts w:cstheme="minorHAnsi"/>
                <w:sz w:val="24"/>
                <w:szCs w:val="24"/>
              </w:rPr>
              <w:t>10.024/19</w:t>
            </w:r>
            <w:r w:rsidR="00916648" w:rsidRPr="00106759">
              <w:rPr>
                <w:rFonts w:cstheme="minorHAnsi"/>
                <w:sz w:val="24"/>
                <w:szCs w:val="24"/>
              </w:rPr>
              <w:t>; art</w:t>
            </w:r>
            <w:r w:rsidR="00916648" w:rsidRPr="00106759">
              <w:rPr>
                <w:rFonts w:cstheme="minorHAnsi"/>
                <w:bCs/>
                <w:sz w:val="24"/>
                <w:szCs w:val="24"/>
              </w:rPr>
              <w:t>. 7º, §2º, I da Lei 8.666/93</w:t>
            </w:r>
            <w:r w:rsidR="00916648" w:rsidRPr="00106759">
              <w:rPr>
                <w:rFonts w:cstheme="minorHAnsi"/>
                <w:sz w:val="24"/>
                <w:szCs w:val="24"/>
              </w:rPr>
              <w:t>)</w:t>
            </w:r>
          </w:p>
        </w:tc>
        <w:tc>
          <w:tcPr>
            <w:tcW w:w="1275" w:type="dxa"/>
          </w:tcPr>
          <w:p w14:paraId="23813940" w14:textId="77777777" w:rsidR="00916648" w:rsidRPr="00106759" w:rsidRDefault="00916648" w:rsidP="00CB11E4">
            <w:pPr>
              <w:autoSpaceDE w:val="0"/>
              <w:autoSpaceDN w:val="0"/>
              <w:adjustRightInd w:val="0"/>
              <w:jc w:val="both"/>
              <w:rPr>
                <w:rFonts w:cstheme="minorHAnsi"/>
                <w:sz w:val="24"/>
                <w:szCs w:val="24"/>
              </w:rPr>
            </w:pPr>
          </w:p>
        </w:tc>
      </w:tr>
      <w:tr w:rsidR="00916648" w:rsidRPr="00106759" w14:paraId="6F3D7F37" w14:textId="33C805AD" w:rsidTr="00916648">
        <w:tc>
          <w:tcPr>
            <w:tcW w:w="8359" w:type="dxa"/>
          </w:tcPr>
          <w:p w14:paraId="372A5CF9" w14:textId="28C9926B" w:rsidR="00916648" w:rsidRPr="00106759" w:rsidRDefault="00D31351" w:rsidP="00495E8F">
            <w:pPr>
              <w:autoSpaceDE w:val="0"/>
              <w:autoSpaceDN w:val="0"/>
              <w:adjustRightInd w:val="0"/>
              <w:jc w:val="both"/>
              <w:rPr>
                <w:rFonts w:cstheme="minorHAnsi"/>
                <w:sz w:val="24"/>
                <w:szCs w:val="24"/>
              </w:rPr>
            </w:pPr>
            <w:r>
              <w:rPr>
                <w:rFonts w:cstheme="minorHAnsi"/>
                <w:sz w:val="24"/>
                <w:szCs w:val="24"/>
              </w:rPr>
              <w:t>8</w:t>
            </w:r>
            <w:r w:rsidR="00916648" w:rsidRPr="00106759">
              <w:rPr>
                <w:rFonts w:cstheme="minorHAnsi"/>
                <w:sz w:val="24"/>
                <w:szCs w:val="24"/>
              </w:rPr>
              <w:t>. Foi realizada ampla pesquisa de preços praticados pelo mercado do ramo do objeto a ser contratado baseada em critérios aceitáveis observando-se a IN SLTI/MP 5, de 27 de junho de 2014</w:t>
            </w:r>
            <w:r w:rsidR="00027705">
              <w:rPr>
                <w:rFonts w:cstheme="minorHAnsi"/>
                <w:sz w:val="24"/>
                <w:szCs w:val="24"/>
              </w:rPr>
              <w:t xml:space="preserve"> e a IN SEGES/ME nº 73/2020, conforme o caso</w:t>
            </w:r>
            <w:r w:rsidR="00916648" w:rsidRPr="00106759">
              <w:rPr>
                <w:rFonts w:cstheme="minorHAnsi"/>
                <w:sz w:val="24"/>
                <w:szCs w:val="24"/>
              </w:rPr>
              <w:t xml:space="preserve">? (art. 3º, III, da </w:t>
            </w:r>
            <w:r w:rsidR="00916648" w:rsidRPr="00027705">
              <w:rPr>
                <w:rFonts w:cstheme="minorHAnsi"/>
                <w:sz w:val="24"/>
                <w:szCs w:val="24"/>
              </w:rPr>
              <w:t xml:space="preserve">Lei 10.520/02, art. </w:t>
            </w:r>
            <w:r w:rsidR="00881AA1" w:rsidRPr="00027705">
              <w:rPr>
                <w:rFonts w:cstheme="minorHAnsi"/>
                <w:sz w:val="24"/>
                <w:szCs w:val="24"/>
              </w:rPr>
              <w:t>3</w:t>
            </w:r>
            <w:r w:rsidR="00916648" w:rsidRPr="00027705">
              <w:rPr>
                <w:rFonts w:cstheme="minorHAnsi"/>
                <w:sz w:val="24"/>
                <w:szCs w:val="24"/>
              </w:rPr>
              <w:t xml:space="preserve">º, </w:t>
            </w:r>
            <w:r w:rsidR="00881AA1" w:rsidRPr="00027705">
              <w:rPr>
                <w:rFonts w:cstheme="minorHAnsi"/>
                <w:sz w:val="24"/>
                <w:szCs w:val="24"/>
              </w:rPr>
              <w:t>XI, “a”, “2”</w:t>
            </w:r>
            <w:r w:rsidR="00916648" w:rsidRPr="00027705">
              <w:rPr>
                <w:rFonts w:cstheme="minorHAnsi"/>
                <w:sz w:val="24"/>
                <w:szCs w:val="24"/>
              </w:rPr>
              <w:t xml:space="preserve"> do Decreto </w:t>
            </w:r>
            <w:r w:rsidR="00881AA1" w:rsidRPr="00027705">
              <w:rPr>
                <w:rFonts w:cstheme="minorHAnsi"/>
                <w:sz w:val="24"/>
                <w:szCs w:val="24"/>
              </w:rPr>
              <w:t>10.024/19</w:t>
            </w:r>
            <w:r w:rsidR="007F793F" w:rsidRPr="00027705">
              <w:rPr>
                <w:rFonts w:cstheme="minorHAnsi"/>
                <w:sz w:val="24"/>
                <w:szCs w:val="24"/>
              </w:rPr>
              <w:t xml:space="preserve">, </w:t>
            </w:r>
            <w:proofErr w:type="spellStart"/>
            <w:r w:rsidR="00916648" w:rsidRPr="00027705">
              <w:rPr>
                <w:rFonts w:cstheme="minorHAnsi"/>
                <w:sz w:val="24"/>
                <w:szCs w:val="24"/>
              </w:rPr>
              <w:t>arts</w:t>
            </w:r>
            <w:proofErr w:type="spellEnd"/>
            <w:r w:rsidR="00916648" w:rsidRPr="00027705">
              <w:rPr>
                <w:rFonts w:cstheme="minorHAnsi"/>
                <w:sz w:val="24"/>
                <w:szCs w:val="24"/>
              </w:rPr>
              <w:t>. 15, III e 43, IV da Lei 8.666/93</w:t>
            </w:r>
            <w:r w:rsidR="007F793F" w:rsidRPr="00027705">
              <w:rPr>
                <w:rFonts w:cstheme="minorHAnsi"/>
                <w:sz w:val="24"/>
                <w:szCs w:val="24"/>
              </w:rPr>
              <w:t xml:space="preserve"> e art. 7º, inc. V e VI da IN SEGES/ME nº 40/2020</w:t>
            </w:r>
            <w:r w:rsidR="00916648" w:rsidRPr="00027705">
              <w:rPr>
                <w:rFonts w:cstheme="minorHAnsi"/>
                <w:sz w:val="24"/>
                <w:szCs w:val="24"/>
              </w:rPr>
              <w:t>).</w:t>
            </w:r>
          </w:p>
        </w:tc>
        <w:tc>
          <w:tcPr>
            <w:tcW w:w="1275" w:type="dxa"/>
          </w:tcPr>
          <w:p w14:paraId="08D357D4" w14:textId="77777777" w:rsidR="00916648" w:rsidRPr="00106759" w:rsidRDefault="00916648" w:rsidP="00CB11E4">
            <w:pPr>
              <w:autoSpaceDE w:val="0"/>
              <w:autoSpaceDN w:val="0"/>
              <w:adjustRightInd w:val="0"/>
              <w:jc w:val="both"/>
              <w:rPr>
                <w:rFonts w:cstheme="minorHAnsi"/>
                <w:sz w:val="24"/>
                <w:szCs w:val="24"/>
              </w:rPr>
            </w:pPr>
          </w:p>
        </w:tc>
      </w:tr>
      <w:tr w:rsidR="00916648" w:rsidRPr="00106759" w14:paraId="658D7B13" w14:textId="1EA8CA59" w:rsidTr="00916648">
        <w:tc>
          <w:tcPr>
            <w:tcW w:w="8359" w:type="dxa"/>
          </w:tcPr>
          <w:p w14:paraId="51A94373" w14:textId="4CCC6435" w:rsidR="00916648" w:rsidRPr="00106759" w:rsidRDefault="00D31351" w:rsidP="00D14478">
            <w:pPr>
              <w:autoSpaceDE w:val="0"/>
              <w:autoSpaceDN w:val="0"/>
              <w:adjustRightInd w:val="0"/>
              <w:jc w:val="both"/>
              <w:rPr>
                <w:rFonts w:cstheme="minorHAnsi"/>
                <w:sz w:val="24"/>
                <w:szCs w:val="24"/>
              </w:rPr>
            </w:pPr>
            <w:r>
              <w:rPr>
                <w:rFonts w:cstheme="minorHAnsi"/>
                <w:sz w:val="24"/>
                <w:szCs w:val="24"/>
              </w:rPr>
              <w:t>8</w:t>
            </w:r>
            <w:r w:rsidR="00916648" w:rsidRPr="00106759">
              <w:rPr>
                <w:rFonts w:cstheme="minorHAnsi"/>
                <w:sz w:val="24"/>
                <w:szCs w:val="24"/>
              </w:rPr>
              <w:t>.1. A metodologia de obtenção do preço de referência foi esclarecida e devidamente justificada? (art. 2º, §§ 2º e 3º da IN/SLTI 05/2014)</w:t>
            </w:r>
          </w:p>
        </w:tc>
        <w:tc>
          <w:tcPr>
            <w:tcW w:w="1275" w:type="dxa"/>
          </w:tcPr>
          <w:p w14:paraId="5FAB25DE" w14:textId="77777777" w:rsidR="00916648" w:rsidRPr="00106759" w:rsidRDefault="00916648" w:rsidP="00E70E35">
            <w:pPr>
              <w:autoSpaceDE w:val="0"/>
              <w:autoSpaceDN w:val="0"/>
              <w:adjustRightInd w:val="0"/>
              <w:jc w:val="both"/>
              <w:rPr>
                <w:rFonts w:cstheme="minorHAnsi"/>
                <w:sz w:val="24"/>
                <w:szCs w:val="24"/>
              </w:rPr>
            </w:pPr>
          </w:p>
        </w:tc>
      </w:tr>
      <w:tr w:rsidR="00916648" w:rsidRPr="00106759" w14:paraId="263681E5" w14:textId="14EDDDCE" w:rsidTr="00916648">
        <w:tc>
          <w:tcPr>
            <w:tcW w:w="8359" w:type="dxa"/>
          </w:tcPr>
          <w:p w14:paraId="2016D001" w14:textId="592809B2" w:rsidR="00916648" w:rsidRPr="00106759" w:rsidRDefault="00D31351" w:rsidP="004C6886">
            <w:pPr>
              <w:autoSpaceDE w:val="0"/>
              <w:autoSpaceDN w:val="0"/>
              <w:adjustRightInd w:val="0"/>
              <w:jc w:val="both"/>
              <w:rPr>
                <w:rFonts w:eastAsia="Droid Sans Fallback" w:cstheme="minorHAnsi"/>
                <w:kern w:val="3"/>
                <w:sz w:val="24"/>
                <w:szCs w:val="24"/>
                <w:lang w:eastAsia="zh-CN" w:bidi="hi-IN"/>
              </w:rPr>
            </w:pPr>
            <w:r>
              <w:rPr>
                <w:rFonts w:eastAsia="Droid Sans Fallback" w:cstheme="minorHAnsi"/>
                <w:kern w:val="3"/>
                <w:sz w:val="24"/>
                <w:szCs w:val="24"/>
                <w:lang w:eastAsia="zh-CN" w:bidi="hi-IN"/>
              </w:rPr>
              <w:t>8</w:t>
            </w:r>
            <w:r w:rsidR="00916648" w:rsidRPr="00106759">
              <w:rPr>
                <w:rFonts w:eastAsia="Droid Sans Fallback" w:cstheme="minorHAnsi"/>
                <w:kern w:val="3"/>
                <w:sz w:val="24"/>
                <w:szCs w:val="24"/>
                <w:lang w:eastAsia="zh-CN" w:bidi="hi-IN"/>
              </w:rPr>
              <w:t>.2. Foi juntada tabela comparativa dos preços obtidos datada e assinada pelo servidor responsável pela pesquisa, para fins de subsidiar a análise crítica dos preços coletados?</w:t>
            </w:r>
          </w:p>
        </w:tc>
        <w:tc>
          <w:tcPr>
            <w:tcW w:w="1275" w:type="dxa"/>
          </w:tcPr>
          <w:p w14:paraId="4F30D9B3" w14:textId="77777777" w:rsidR="00916648" w:rsidRPr="00106759" w:rsidRDefault="00916648" w:rsidP="00E70E35">
            <w:pPr>
              <w:autoSpaceDE w:val="0"/>
              <w:autoSpaceDN w:val="0"/>
              <w:adjustRightInd w:val="0"/>
              <w:jc w:val="both"/>
              <w:rPr>
                <w:rFonts w:eastAsia="Droid Sans Fallback" w:cstheme="minorHAnsi"/>
                <w:kern w:val="3"/>
                <w:sz w:val="24"/>
                <w:szCs w:val="24"/>
                <w:lang w:eastAsia="zh-CN" w:bidi="hi-IN"/>
              </w:rPr>
            </w:pPr>
          </w:p>
        </w:tc>
      </w:tr>
      <w:tr w:rsidR="00916648" w:rsidRPr="00106759" w14:paraId="312069B7" w14:textId="77D82676" w:rsidTr="00916648">
        <w:tc>
          <w:tcPr>
            <w:tcW w:w="8359" w:type="dxa"/>
          </w:tcPr>
          <w:p w14:paraId="02D499E4" w14:textId="1E680F09" w:rsidR="00916648" w:rsidRPr="00106759" w:rsidRDefault="00D31351" w:rsidP="00E14FCE">
            <w:pPr>
              <w:autoSpaceDE w:val="0"/>
              <w:autoSpaceDN w:val="0"/>
              <w:adjustRightInd w:val="0"/>
              <w:jc w:val="both"/>
              <w:rPr>
                <w:rFonts w:cstheme="minorHAnsi"/>
                <w:sz w:val="24"/>
                <w:szCs w:val="24"/>
              </w:rPr>
            </w:pPr>
            <w:r>
              <w:rPr>
                <w:rFonts w:cstheme="minorHAnsi"/>
                <w:sz w:val="24"/>
                <w:szCs w:val="24"/>
              </w:rPr>
              <w:t>8</w:t>
            </w:r>
            <w:r w:rsidR="00916648" w:rsidRPr="00106759">
              <w:rPr>
                <w:rFonts w:cstheme="minorHAnsi"/>
                <w:sz w:val="24"/>
                <w:szCs w:val="24"/>
              </w:rPr>
              <w:t xml:space="preserve">.3. Consta </w:t>
            </w:r>
            <w:r w:rsidR="00E14FCE">
              <w:rPr>
                <w:rFonts w:cstheme="minorHAnsi"/>
                <w:sz w:val="24"/>
                <w:szCs w:val="24"/>
              </w:rPr>
              <w:t xml:space="preserve">manifestação da área técnica com </w:t>
            </w:r>
            <w:r w:rsidR="00916648" w:rsidRPr="00106759">
              <w:rPr>
                <w:rFonts w:cstheme="minorHAnsi"/>
                <w:sz w:val="24"/>
                <w:szCs w:val="24"/>
              </w:rPr>
              <w:t>análise dos preços obtidos na pesquisa</w:t>
            </w:r>
            <w:r w:rsidR="00E14FCE">
              <w:rPr>
                <w:rFonts w:cstheme="minorHAnsi"/>
                <w:sz w:val="24"/>
                <w:szCs w:val="24"/>
              </w:rPr>
              <w:t>?</w:t>
            </w:r>
            <w:r w:rsidR="00916648" w:rsidRPr="00106759">
              <w:rPr>
                <w:rFonts w:cstheme="minorHAnsi"/>
                <w:sz w:val="24"/>
                <w:szCs w:val="24"/>
              </w:rPr>
              <w:t xml:space="preserve"> (art. 2º, §§ 1º a 6º da IN 5, de 2014)</w:t>
            </w:r>
          </w:p>
        </w:tc>
        <w:tc>
          <w:tcPr>
            <w:tcW w:w="1275" w:type="dxa"/>
          </w:tcPr>
          <w:p w14:paraId="7B57E0C8" w14:textId="77777777" w:rsidR="00916648" w:rsidRPr="00106759" w:rsidRDefault="00916648" w:rsidP="00E70E35">
            <w:pPr>
              <w:autoSpaceDE w:val="0"/>
              <w:autoSpaceDN w:val="0"/>
              <w:adjustRightInd w:val="0"/>
              <w:jc w:val="both"/>
              <w:rPr>
                <w:rFonts w:cstheme="minorHAnsi"/>
                <w:sz w:val="24"/>
                <w:szCs w:val="24"/>
              </w:rPr>
            </w:pPr>
          </w:p>
        </w:tc>
      </w:tr>
      <w:tr w:rsidR="00916648" w:rsidRPr="00106759" w14:paraId="44214276" w14:textId="77777777" w:rsidTr="00916648">
        <w:tc>
          <w:tcPr>
            <w:tcW w:w="8359" w:type="dxa"/>
          </w:tcPr>
          <w:p w14:paraId="6F61C99E" w14:textId="6B55BC38" w:rsidR="00916648" w:rsidRPr="00106759" w:rsidRDefault="00D31351" w:rsidP="00C83F8C">
            <w:pPr>
              <w:autoSpaceDE w:val="0"/>
              <w:autoSpaceDN w:val="0"/>
              <w:adjustRightInd w:val="0"/>
              <w:jc w:val="both"/>
              <w:rPr>
                <w:rFonts w:cstheme="minorHAnsi"/>
                <w:sz w:val="24"/>
                <w:szCs w:val="24"/>
              </w:rPr>
            </w:pPr>
            <w:r>
              <w:rPr>
                <w:rFonts w:cstheme="minorHAnsi"/>
                <w:sz w:val="24"/>
                <w:szCs w:val="24"/>
              </w:rPr>
              <w:t>9</w:t>
            </w:r>
            <w:r w:rsidR="00916648" w:rsidRPr="00106759">
              <w:rPr>
                <w:rFonts w:cstheme="minorHAnsi"/>
                <w:sz w:val="24"/>
                <w:szCs w:val="24"/>
              </w:rPr>
              <w:t xml:space="preserve">. Tratando-se de atividade de custeio, foi observado o art. </w:t>
            </w:r>
            <w:r w:rsidR="007C7163">
              <w:rPr>
                <w:rFonts w:cstheme="minorHAnsi"/>
                <w:sz w:val="24"/>
                <w:szCs w:val="24"/>
              </w:rPr>
              <w:t>3</w:t>
            </w:r>
            <w:r w:rsidR="00916648" w:rsidRPr="00106759">
              <w:rPr>
                <w:rFonts w:cstheme="minorHAnsi"/>
                <w:sz w:val="24"/>
                <w:szCs w:val="24"/>
              </w:rPr>
              <w:t xml:space="preserve">º do Decreto </w:t>
            </w:r>
            <w:r w:rsidR="007C7163">
              <w:rPr>
                <w:rFonts w:cstheme="minorHAnsi"/>
                <w:sz w:val="24"/>
                <w:szCs w:val="24"/>
              </w:rPr>
              <w:t>10.193/2019</w:t>
            </w:r>
            <w:r w:rsidR="00916648">
              <w:rPr>
                <w:rFonts w:cstheme="minorHAnsi"/>
                <w:sz w:val="24"/>
                <w:szCs w:val="24"/>
              </w:rPr>
              <w:t xml:space="preserve"> c/c art. 3º da Portaria MP nº 249/2012</w:t>
            </w:r>
            <w:r w:rsidR="00916648" w:rsidRPr="00106759">
              <w:rPr>
                <w:rFonts w:cstheme="minorHAnsi"/>
                <w:sz w:val="24"/>
                <w:szCs w:val="24"/>
              </w:rPr>
              <w:t>?</w:t>
            </w:r>
          </w:p>
        </w:tc>
        <w:tc>
          <w:tcPr>
            <w:tcW w:w="1275" w:type="dxa"/>
          </w:tcPr>
          <w:p w14:paraId="15809C20" w14:textId="77777777" w:rsidR="00916648" w:rsidRPr="00106759" w:rsidRDefault="00916648" w:rsidP="00E70E35">
            <w:pPr>
              <w:autoSpaceDE w:val="0"/>
              <w:autoSpaceDN w:val="0"/>
              <w:adjustRightInd w:val="0"/>
              <w:jc w:val="both"/>
              <w:rPr>
                <w:rFonts w:cstheme="minorHAnsi"/>
                <w:sz w:val="24"/>
                <w:szCs w:val="24"/>
              </w:rPr>
            </w:pPr>
          </w:p>
        </w:tc>
      </w:tr>
      <w:tr w:rsidR="00916648" w:rsidRPr="00106759" w14:paraId="4B3203FD" w14:textId="3573C9D9" w:rsidTr="00916648">
        <w:tc>
          <w:tcPr>
            <w:tcW w:w="8359" w:type="dxa"/>
          </w:tcPr>
          <w:p w14:paraId="39108E5B" w14:textId="702752B7" w:rsidR="00916648" w:rsidRPr="00106759" w:rsidRDefault="00916648" w:rsidP="00881AA1">
            <w:pPr>
              <w:autoSpaceDE w:val="0"/>
              <w:autoSpaceDN w:val="0"/>
              <w:adjustRightInd w:val="0"/>
              <w:jc w:val="both"/>
              <w:rPr>
                <w:rFonts w:cstheme="minorHAnsi"/>
                <w:sz w:val="24"/>
                <w:szCs w:val="24"/>
              </w:rPr>
            </w:pPr>
            <w:r w:rsidRPr="00106759">
              <w:rPr>
                <w:rFonts w:cstheme="minorHAnsi"/>
                <w:sz w:val="24"/>
                <w:szCs w:val="24"/>
              </w:rPr>
              <w:t>1</w:t>
            </w:r>
            <w:r w:rsidR="00D31351">
              <w:rPr>
                <w:rFonts w:cstheme="minorHAnsi"/>
                <w:sz w:val="24"/>
                <w:szCs w:val="24"/>
              </w:rPr>
              <w:t>0</w:t>
            </w:r>
            <w:r w:rsidRPr="00106759">
              <w:rPr>
                <w:rFonts w:cstheme="minorHAnsi"/>
                <w:sz w:val="24"/>
                <w:szCs w:val="24"/>
              </w:rPr>
              <w:t>. Consta indicação do recurso orçamentário próprio para a despesa e da respectiva rub</w:t>
            </w:r>
            <w:r w:rsidR="00881AA1">
              <w:rPr>
                <w:rFonts w:cstheme="minorHAnsi"/>
                <w:sz w:val="24"/>
                <w:szCs w:val="24"/>
              </w:rPr>
              <w:t>rica, caso não seja SRP? (art. 8º</w:t>
            </w:r>
            <w:r w:rsidRPr="00106759">
              <w:rPr>
                <w:rFonts w:cstheme="minorHAnsi"/>
                <w:sz w:val="24"/>
                <w:szCs w:val="24"/>
              </w:rPr>
              <w:t xml:space="preserve">, IV, do Decreto </w:t>
            </w:r>
            <w:r w:rsidR="00881AA1">
              <w:rPr>
                <w:rFonts w:cstheme="minorHAnsi"/>
                <w:sz w:val="24"/>
                <w:szCs w:val="24"/>
              </w:rPr>
              <w:t>10.024/19</w:t>
            </w:r>
            <w:r w:rsidRPr="00106759">
              <w:rPr>
                <w:rFonts w:cstheme="minorHAnsi"/>
                <w:sz w:val="24"/>
                <w:szCs w:val="24"/>
              </w:rPr>
              <w:t xml:space="preserve"> e </w:t>
            </w:r>
            <w:proofErr w:type="spellStart"/>
            <w:r w:rsidRPr="00106759">
              <w:rPr>
                <w:rFonts w:cstheme="minorHAnsi"/>
                <w:sz w:val="24"/>
                <w:szCs w:val="24"/>
              </w:rPr>
              <w:t>arts</w:t>
            </w:r>
            <w:proofErr w:type="spellEnd"/>
            <w:r w:rsidRPr="00106759">
              <w:rPr>
                <w:rFonts w:cstheme="minorHAnsi"/>
                <w:sz w:val="24"/>
                <w:szCs w:val="24"/>
              </w:rPr>
              <w:t>. 7º, § 2º, III, 14 e 38, caput, da Lei 8.666/93)</w:t>
            </w:r>
          </w:p>
        </w:tc>
        <w:tc>
          <w:tcPr>
            <w:tcW w:w="1275" w:type="dxa"/>
          </w:tcPr>
          <w:p w14:paraId="311D205B" w14:textId="77777777" w:rsidR="00916648" w:rsidRPr="00106759" w:rsidRDefault="00916648" w:rsidP="00E70E35">
            <w:pPr>
              <w:autoSpaceDE w:val="0"/>
              <w:autoSpaceDN w:val="0"/>
              <w:adjustRightInd w:val="0"/>
              <w:jc w:val="both"/>
              <w:rPr>
                <w:rFonts w:cstheme="minorHAnsi"/>
                <w:sz w:val="24"/>
                <w:szCs w:val="24"/>
              </w:rPr>
            </w:pPr>
          </w:p>
        </w:tc>
      </w:tr>
      <w:tr w:rsidR="00916648" w:rsidRPr="00106759" w14:paraId="1F6E61F9" w14:textId="465CE43C" w:rsidTr="00916648">
        <w:tc>
          <w:tcPr>
            <w:tcW w:w="8359" w:type="dxa"/>
          </w:tcPr>
          <w:p w14:paraId="5BB17AB5" w14:textId="3D44C987" w:rsidR="00916648" w:rsidRPr="00106759" w:rsidRDefault="00916648" w:rsidP="00E70E35">
            <w:pPr>
              <w:autoSpaceDE w:val="0"/>
              <w:autoSpaceDN w:val="0"/>
              <w:adjustRightInd w:val="0"/>
              <w:jc w:val="both"/>
              <w:rPr>
                <w:rFonts w:cstheme="minorHAnsi"/>
                <w:sz w:val="24"/>
                <w:szCs w:val="24"/>
              </w:rPr>
            </w:pPr>
            <w:r w:rsidRPr="00106759">
              <w:rPr>
                <w:rFonts w:cstheme="minorHAnsi"/>
                <w:sz w:val="24"/>
                <w:szCs w:val="24"/>
              </w:rPr>
              <w:t>1</w:t>
            </w:r>
            <w:r w:rsidR="00D31351">
              <w:rPr>
                <w:rFonts w:cstheme="minorHAnsi"/>
                <w:sz w:val="24"/>
                <w:szCs w:val="24"/>
              </w:rPr>
              <w:t>0</w:t>
            </w:r>
            <w:r w:rsidRPr="00106759">
              <w:rPr>
                <w:rFonts w:cstheme="minorHAnsi"/>
                <w:sz w:val="24"/>
                <w:szCs w:val="24"/>
              </w:rPr>
              <w:t xml:space="preserve">.1. Se for o caso, constam a estimativa do impacto orçamentário financeiro da despesa prevista no art. 16, inc. I da LC 101/2000 e a declaração prevista no art. 16, II do mesmo diploma na hipótese </w:t>
            </w:r>
            <w:proofErr w:type="gramStart"/>
            <w:r w:rsidRPr="00106759">
              <w:rPr>
                <w:rFonts w:cstheme="minorHAnsi"/>
                <w:sz w:val="24"/>
                <w:szCs w:val="24"/>
              </w:rPr>
              <w:t>da</w:t>
            </w:r>
            <w:proofErr w:type="gramEnd"/>
            <w:r w:rsidRPr="00106759">
              <w:rPr>
                <w:rFonts w:cstheme="minorHAnsi"/>
                <w:sz w:val="24"/>
                <w:szCs w:val="24"/>
              </w:rPr>
              <w:t xml:space="preserve"> despesa incidir no caput do art. 16? (ON/AGU 52/2014)</w:t>
            </w:r>
          </w:p>
          <w:p w14:paraId="376E598E" w14:textId="6CBF7BA2" w:rsidR="00916648" w:rsidRPr="00993FE5" w:rsidRDefault="00916648" w:rsidP="004C6886">
            <w:pPr>
              <w:autoSpaceDE w:val="0"/>
              <w:autoSpaceDN w:val="0"/>
              <w:adjustRightInd w:val="0"/>
              <w:jc w:val="both"/>
              <w:rPr>
                <w:rFonts w:cstheme="minorHAnsi"/>
                <w:color w:val="FF0000"/>
                <w:sz w:val="24"/>
                <w:szCs w:val="24"/>
              </w:rPr>
            </w:pPr>
            <w:r w:rsidRPr="00106759">
              <w:rPr>
                <w:rFonts w:cstheme="minorHAnsi"/>
                <w:color w:val="FF0000"/>
                <w:sz w:val="24"/>
                <w:szCs w:val="24"/>
              </w:rPr>
              <w:t xml:space="preserve">Obs. 1: </w:t>
            </w:r>
            <w:r>
              <w:rPr>
                <w:rFonts w:cstheme="minorHAnsi"/>
                <w:color w:val="FF0000"/>
                <w:sz w:val="24"/>
                <w:szCs w:val="24"/>
              </w:rPr>
              <w:t xml:space="preserve">ON AGU </w:t>
            </w:r>
            <w:r w:rsidRPr="00106759">
              <w:rPr>
                <w:rFonts w:cstheme="minorHAnsi"/>
                <w:color w:val="FF0000"/>
                <w:sz w:val="24"/>
                <w:szCs w:val="24"/>
              </w:rPr>
              <w:t>52: “</w:t>
            </w:r>
            <w:r w:rsidRPr="00106759">
              <w:rPr>
                <w:rFonts w:cstheme="minorHAnsi"/>
                <w:i/>
                <w:color w:val="FF0000"/>
                <w:sz w:val="24"/>
                <w:szCs w:val="24"/>
              </w:rPr>
              <w:t>As despesas ordinárias e rotineiras da administração, já previstas no orçamento e destinadas à manutenção das ações governamentais preexistentes, dispensam as exigências previstas nos incisos I e II do art. 16 da Lei Complementar 101, de 2000</w:t>
            </w:r>
            <w:r w:rsidRPr="00106759">
              <w:rPr>
                <w:rFonts w:cstheme="minorHAnsi"/>
                <w:color w:val="FF0000"/>
                <w:sz w:val="24"/>
                <w:szCs w:val="24"/>
              </w:rPr>
              <w:t>.”</w:t>
            </w:r>
          </w:p>
        </w:tc>
        <w:tc>
          <w:tcPr>
            <w:tcW w:w="1275" w:type="dxa"/>
          </w:tcPr>
          <w:p w14:paraId="320A09E2" w14:textId="77777777" w:rsidR="00916648" w:rsidRPr="00106759" w:rsidRDefault="00916648" w:rsidP="00E70E35">
            <w:pPr>
              <w:autoSpaceDE w:val="0"/>
              <w:autoSpaceDN w:val="0"/>
              <w:adjustRightInd w:val="0"/>
              <w:jc w:val="both"/>
              <w:rPr>
                <w:rFonts w:cstheme="minorHAnsi"/>
                <w:sz w:val="24"/>
                <w:szCs w:val="24"/>
              </w:rPr>
            </w:pPr>
          </w:p>
        </w:tc>
      </w:tr>
      <w:tr w:rsidR="00916648" w:rsidRPr="00106759" w14:paraId="5AE6113D" w14:textId="77777777" w:rsidTr="00916648">
        <w:tc>
          <w:tcPr>
            <w:tcW w:w="8359" w:type="dxa"/>
          </w:tcPr>
          <w:p w14:paraId="5F36A7B8" w14:textId="36758899" w:rsidR="00916648" w:rsidRPr="00106759" w:rsidRDefault="00916648" w:rsidP="004C6886">
            <w:pPr>
              <w:autoSpaceDE w:val="0"/>
              <w:autoSpaceDN w:val="0"/>
              <w:adjustRightInd w:val="0"/>
              <w:jc w:val="both"/>
              <w:rPr>
                <w:rFonts w:cstheme="minorHAnsi"/>
                <w:sz w:val="24"/>
                <w:szCs w:val="24"/>
              </w:rPr>
            </w:pPr>
            <w:r w:rsidRPr="00106759">
              <w:rPr>
                <w:rFonts w:cstheme="minorHAnsi"/>
                <w:sz w:val="24"/>
                <w:szCs w:val="24"/>
              </w:rPr>
              <w:t>1</w:t>
            </w:r>
            <w:r w:rsidR="00D31351">
              <w:rPr>
                <w:rFonts w:cstheme="minorHAnsi"/>
                <w:sz w:val="24"/>
                <w:szCs w:val="24"/>
              </w:rPr>
              <w:t>1</w:t>
            </w:r>
            <w:r w:rsidRPr="00106759">
              <w:rPr>
                <w:rFonts w:cstheme="minorHAnsi"/>
                <w:sz w:val="24"/>
                <w:szCs w:val="24"/>
              </w:rPr>
              <w:t xml:space="preserve">. Foram utilizados os modelos padronizados de instrumentos contratuais da Advocacia-Geral União? </w:t>
            </w:r>
            <w:r>
              <w:rPr>
                <w:rFonts w:cstheme="minorHAnsi"/>
                <w:sz w:val="24"/>
                <w:szCs w:val="24"/>
              </w:rPr>
              <w:t>(Enunciado nº 6 do Manual de Boas Práticas Consultivas).</w:t>
            </w:r>
            <w:r w:rsidRPr="00106759">
              <w:rPr>
                <w:rFonts w:cstheme="minorHAnsi"/>
                <w:strike/>
                <w:sz w:val="24"/>
                <w:szCs w:val="24"/>
              </w:rPr>
              <w:t xml:space="preserve"> </w:t>
            </w:r>
            <w:r>
              <w:rPr>
                <w:rFonts w:cstheme="minorHAnsi"/>
                <w:sz w:val="24"/>
                <w:szCs w:val="24"/>
              </w:rPr>
              <w:t xml:space="preserve"> </w:t>
            </w:r>
          </w:p>
        </w:tc>
        <w:tc>
          <w:tcPr>
            <w:tcW w:w="1275" w:type="dxa"/>
          </w:tcPr>
          <w:p w14:paraId="4ECD28D7" w14:textId="77777777" w:rsidR="00916648" w:rsidRPr="00106759" w:rsidRDefault="00916648" w:rsidP="005748FE">
            <w:pPr>
              <w:autoSpaceDE w:val="0"/>
              <w:autoSpaceDN w:val="0"/>
              <w:adjustRightInd w:val="0"/>
              <w:jc w:val="both"/>
              <w:rPr>
                <w:rFonts w:cstheme="minorHAnsi"/>
                <w:sz w:val="24"/>
                <w:szCs w:val="24"/>
              </w:rPr>
            </w:pPr>
          </w:p>
        </w:tc>
      </w:tr>
      <w:tr w:rsidR="00916648" w:rsidRPr="0080765D" w14:paraId="5C936BB4" w14:textId="77777777" w:rsidTr="00916648">
        <w:tc>
          <w:tcPr>
            <w:tcW w:w="8359" w:type="dxa"/>
          </w:tcPr>
          <w:p w14:paraId="47302874" w14:textId="44DD84D9" w:rsidR="00916648" w:rsidRPr="00D3315F" w:rsidRDefault="00916648" w:rsidP="00C83F8C">
            <w:pPr>
              <w:autoSpaceDE w:val="0"/>
              <w:autoSpaceDN w:val="0"/>
              <w:adjustRightInd w:val="0"/>
              <w:jc w:val="both"/>
              <w:rPr>
                <w:rFonts w:cstheme="minorHAnsi"/>
                <w:sz w:val="24"/>
                <w:szCs w:val="24"/>
              </w:rPr>
            </w:pPr>
            <w:r w:rsidRPr="00106759">
              <w:rPr>
                <w:rFonts w:cstheme="minorHAnsi"/>
                <w:sz w:val="24"/>
                <w:szCs w:val="24"/>
              </w:rPr>
              <w:t>1</w:t>
            </w:r>
            <w:r w:rsidR="00D31351">
              <w:rPr>
                <w:rFonts w:cstheme="minorHAnsi"/>
                <w:sz w:val="24"/>
                <w:szCs w:val="24"/>
              </w:rPr>
              <w:t>1</w:t>
            </w:r>
            <w:r w:rsidRPr="00106759">
              <w:rPr>
                <w:rFonts w:cstheme="minorHAnsi"/>
                <w:sz w:val="24"/>
                <w:szCs w:val="24"/>
              </w:rPr>
              <w:t xml:space="preserve">.1. Eventuais alterações nos modelos ou </w:t>
            </w:r>
            <w:r>
              <w:rPr>
                <w:rFonts w:cstheme="minorHAnsi"/>
                <w:sz w:val="24"/>
                <w:szCs w:val="24"/>
              </w:rPr>
              <w:t>su</w:t>
            </w:r>
            <w:r w:rsidRPr="00106759">
              <w:rPr>
                <w:rFonts w:cstheme="minorHAnsi"/>
                <w:sz w:val="24"/>
                <w:szCs w:val="24"/>
              </w:rPr>
              <w:t xml:space="preserve">a não utilização foram devidamente justificadas no processo? </w:t>
            </w:r>
          </w:p>
        </w:tc>
        <w:tc>
          <w:tcPr>
            <w:tcW w:w="1275" w:type="dxa"/>
          </w:tcPr>
          <w:p w14:paraId="1D8CB512" w14:textId="23BA6396" w:rsidR="00916648" w:rsidRPr="0080765D" w:rsidRDefault="00916648" w:rsidP="005748FE">
            <w:pPr>
              <w:autoSpaceDE w:val="0"/>
              <w:autoSpaceDN w:val="0"/>
              <w:adjustRightInd w:val="0"/>
              <w:jc w:val="both"/>
              <w:rPr>
                <w:rFonts w:cstheme="minorHAnsi"/>
                <w:sz w:val="24"/>
                <w:szCs w:val="24"/>
              </w:rPr>
            </w:pPr>
          </w:p>
        </w:tc>
      </w:tr>
    </w:tbl>
    <w:p w14:paraId="6B4538AC" w14:textId="77777777" w:rsidR="00187AB9" w:rsidRDefault="00187AB9" w:rsidP="00A14074">
      <w:pPr>
        <w:autoSpaceDE w:val="0"/>
        <w:autoSpaceDN w:val="0"/>
        <w:adjustRightInd w:val="0"/>
        <w:spacing w:after="0" w:line="240" w:lineRule="auto"/>
        <w:jc w:val="both"/>
        <w:rPr>
          <w:rFonts w:cstheme="minorHAnsi"/>
          <w:sz w:val="24"/>
          <w:szCs w:val="24"/>
        </w:rPr>
      </w:pPr>
    </w:p>
    <w:tbl>
      <w:tblPr>
        <w:tblStyle w:val="Tabelacomgrade"/>
        <w:tblW w:w="9634" w:type="dxa"/>
        <w:tblLayout w:type="fixed"/>
        <w:tblLook w:val="04A0" w:firstRow="1" w:lastRow="0" w:firstColumn="1" w:lastColumn="0" w:noHBand="0" w:noVBand="1"/>
      </w:tblPr>
      <w:tblGrid>
        <w:gridCol w:w="8359"/>
        <w:gridCol w:w="1275"/>
      </w:tblGrid>
      <w:tr w:rsidR="005C3026" w:rsidRPr="00163F8E" w14:paraId="5365296A" w14:textId="77777777" w:rsidTr="005C3026">
        <w:tc>
          <w:tcPr>
            <w:tcW w:w="8359" w:type="dxa"/>
          </w:tcPr>
          <w:p w14:paraId="3958A665" w14:textId="3D8CEF69" w:rsidR="005C3026" w:rsidRPr="00163F8E" w:rsidRDefault="005C3026" w:rsidP="00BD15D6">
            <w:pPr>
              <w:autoSpaceDE w:val="0"/>
              <w:autoSpaceDN w:val="0"/>
              <w:adjustRightInd w:val="0"/>
              <w:jc w:val="both"/>
              <w:rPr>
                <w:rFonts w:cstheme="minorHAnsi"/>
                <w:sz w:val="24"/>
                <w:szCs w:val="24"/>
              </w:rPr>
            </w:pPr>
            <w:r w:rsidRPr="00163F8E">
              <w:rPr>
                <w:rFonts w:cstheme="minorHAnsi"/>
                <w:b/>
                <w:bCs/>
                <w:sz w:val="24"/>
                <w:szCs w:val="24"/>
              </w:rPr>
              <w:t xml:space="preserve">LISTA DE VERIFICAÇÃO ESPECÍFICA PARA CONTRATAÇÃO PRECEDIDA DE LICITAÇÃO </w:t>
            </w:r>
          </w:p>
        </w:tc>
        <w:tc>
          <w:tcPr>
            <w:tcW w:w="1275" w:type="dxa"/>
          </w:tcPr>
          <w:p w14:paraId="3F08FD88" w14:textId="77777777" w:rsidR="005C3026" w:rsidRPr="00163F8E" w:rsidRDefault="005C3026" w:rsidP="005038AC">
            <w:pPr>
              <w:autoSpaceDE w:val="0"/>
              <w:autoSpaceDN w:val="0"/>
              <w:adjustRightInd w:val="0"/>
              <w:jc w:val="both"/>
              <w:rPr>
                <w:rFonts w:cstheme="minorHAnsi"/>
                <w:szCs w:val="24"/>
              </w:rPr>
            </w:pPr>
            <w:r w:rsidRPr="00163F8E">
              <w:rPr>
                <w:rFonts w:cstheme="minorHAnsi"/>
                <w:szCs w:val="24"/>
              </w:rPr>
              <w:t>ESTADO</w:t>
            </w:r>
          </w:p>
          <w:p w14:paraId="18F43B9F" w14:textId="0D8AA278" w:rsidR="005C3026" w:rsidRPr="00163F8E" w:rsidRDefault="005C3026" w:rsidP="005038AC">
            <w:pPr>
              <w:autoSpaceDE w:val="0"/>
              <w:autoSpaceDN w:val="0"/>
              <w:adjustRightInd w:val="0"/>
              <w:jc w:val="both"/>
              <w:rPr>
                <w:rFonts w:cstheme="minorHAnsi"/>
                <w:szCs w:val="24"/>
              </w:rPr>
            </w:pPr>
            <w:r w:rsidRPr="00163F8E">
              <w:rPr>
                <w:rFonts w:cstheme="minorHAnsi"/>
                <w:szCs w:val="24"/>
              </w:rPr>
              <w:t>S/N/N.A.</w:t>
            </w:r>
          </w:p>
        </w:tc>
      </w:tr>
      <w:tr w:rsidR="005C3026" w:rsidRPr="00163F8E" w14:paraId="2B16C236" w14:textId="0979B725" w:rsidTr="005C3026">
        <w:tc>
          <w:tcPr>
            <w:tcW w:w="8359" w:type="dxa"/>
          </w:tcPr>
          <w:p w14:paraId="1DF36C78" w14:textId="4F4F7E26" w:rsidR="005C3026" w:rsidRDefault="005C3026" w:rsidP="004C6886">
            <w:pPr>
              <w:autoSpaceDE w:val="0"/>
              <w:autoSpaceDN w:val="0"/>
              <w:adjustRightInd w:val="0"/>
              <w:jc w:val="both"/>
              <w:rPr>
                <w:rFonts w:cstheme="minorHAnsi"/>
                <w:sz w:val="24"/>
                <w:szCs w:val="24"/>
              </w:rPr>
            </w:pPr>
            <w:r w:rsidRPr="00163F8E">
              <w:rPr>
                <w:rFonts w:cstheme="minorHAnsi"/>
                <w:sz w:val="24"/>
                <w:szCs w:val="24"/>
              </w:rPr>
              <w:t>1</w:t>
            </w:r>
            <w:r w:rsidR="00D31351">
              <w:rPr>
                <w:rFonts w:cstheme="minorHAnsi"/>
                <w:sz w:val="24"/>
                <w:szCs w:val="24"/>
              </w:rPr>
              <w:t>2</w:t>
            </w:r>
            <w:r w:rsidRPr="00163F8E">
              <w:rPr>
                <w:rFonts w:cstheme="minorHAnsi"/>
                <w:sz w:val="24"/>
                <w:szCs w:val="24"/>
              </w:rPr>
              <w:t>. Houve justificativa do enquadramento ou não do objeto como sendo bem comum? (</w:t>
            </w:r>
            <w:r>
              <w:rPr>
                <w:rFonts w:cstheme="minorHAnsi"/>
                <w:sz w:val="24"/>
                <w:szCs w:val="24"/>
              </w:rPr>
              <w:t>ON AGU nº 54/2014</w:t>
            </w:r>
            <w:r w:rsidRPr="00163F8E">
              <w:rPr>
                <w:rFonts w:cstheme="minorHAnsi"/>
                <w:sz w:val="24"/>
                <w:szCs w:val="24"/>
              </w:rPr>
              <w:t>)</w:t>
            </w:r>
          </w:p>
          <w:p w14:paraId="72907649" w14:textId="63704E99" w:rsidR="005C3026" w:rsidRPr="00163F8E" w:rsidRDefault="005C3026" w:rsidP="00A604DB">
            <w:pPr>
              <w:autoSpaceDE w:val="0"/>
              <w:autoSpaceDN w:val="0"/>
              <w:adjustRightInd w:val="0"/>
              <w:jc w:val="both"/>
              <w:rPr>
                <w:rFonts w:cstheme="minorHAnsi"/>
                <w:sz w:val="24"/>
                <w:szCs w:val="24"/>
              </w:rPr>
            </w:pPr>
            <w:r w:rsidRPr="00986082">
              <w:rPr>
                <w:rFonts w:cstheme="minorHAnsi"/>
                <w:i/>
                <w:color w:val="FF0000"/>
                <w:sz w:val="24"/>
                <w:szCs w:val="24"/>
              </w:rPr>
              <w:t>ON AGU nº 54/2014: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tc>
        <w:tc>
          <w:tcPr>
            <w:tcW w:w="1275" w:type="dxa"/>
          </w:tcPr>
          <w:p w14:paraId="48166171" w14:textId="77777777" w:rsidR="005C3026" w:rsidRPr="00163F8E" w:rsidRDefault="005C3026" w:rsidP="00527269">
            <w:pPr>
              <w:autoSpaceDE w:val="0"/>
              <w:autoSpaceDN w:val="0"/>
              <w:adjustRightInd w:val="0"/>
              <w:jc w:val="both"/>
              <w:rPr>
                <w:rFonts w:cstheme="minorHAnsi"/>
                <w:sz w:val="24"/>
                <w:szCs w:val="24"/>
              </w:rPr>
            </w:pPr>
          </w:p>
        </w:tc>
      </w:tr>
      <w:tr w:rsidR="005C3026" w:rsidRPr="00163F8E" w14:paraId="6A735D62" w14:textId="7AECC6D5" w:rsidTr="005C3026">
        <w:tc>
          <w:tcPr>
            <w:tcW w:w="8359" w:type="dxa"/>
          </w:tcPr>
          <w:p w14:paraId="2325567A" w14:textId="26FCFAB6" w:rsidR="005C3026" w:rsidRPr="00163F8E" w:rsidRDefault="005C3026" w:rsidP="00881AA1">
            <w:pPr>
              <w:autoSpaceDE w:val="0"/>
              <w:autoSpaceDN w:val="0"/>
              <w:adjustRightInd w:val="0"/>
              <w:jc w:val="both"/>
              <w:rPr>
                <w:rFonts w:cstheme="minorHAnsi"/>
                <w:sz w:val="24"/>
                <w:szCs w:val="24"/>
              </w:rPr>
            </w:pPr>
            <w:r w:rsidRPr="00163F8E">
              <w:rPr>
                <w:rFonts w:cstheme="minorHAnsi"/>
                <w:sz w:val="24"/>
                <w:szCs w:val="24"/>
              </w:rPr>
              <w:t>1</w:t>
            </w:r>
            <w:r w:rsidR="00D31351">
              <w:rPr>
                <w:rFonts w:cstheme="minorHAnsi"/>
                <w:sz w:val="24"/>
                <w:szCs w:val="24"/>
              </w:rPr>
              <w:t>2</w:t>
            </w:r>
            <w:r w:rsidRPr="00163F8E">
              <w:rPr>
                <w:rFonts w:cstheme="minorHAnsi"/>
                <w:sz w:val="24"/>
                <w:szCs w:val="24"/>
              </w:rPr>
              <w:t xml:space="preserve">.1 Sendo enquadrado o objeto como bem ou serviço comum, foi adotado o pregão? (art. 1º da Lei </w:t>
            </w:r>
            <w:r>
              <w:rPr>
                <w:rFonts w:cstheme="minorHAnsi"/>
                <w:sz w:val="24"/>
                <w:szCs w:val="24"/>
              </w:rPr>
              <w:t>10.520/02; art. 1</w:t>
            </w:r>
            <w:r w:rsidRPr="00163F8E">
              <w:rPr>
                <w:rFonts w:cstheme="minorHAnsi"/>
                <w:sz w:val="24"/>
                <w:szCs w:val="24"/>
              </w:rPr>
              <w:t xml:space="preserve">º do Decreto </w:t>
            </w:r>
            <w:r>
              <w:rPr>
                <w:rFonts w:cstheme="minorHAnsi"/>
                <w:sz w:val="24"/>
                <w:szCs w:val="24"/>
              </w:rPr>
              <w:t>10.024/2019</w:t>
            </w:r>
            <w:r w:rsidRPr="00163F8E">
              <w:rPr>
                <w:rFonts w:cstheme="minorHAnsi"/>
                <w:sz w:val="24"/>
                <w:szCs w:val="24"/>
              </w:rPr>
              <w:t>)</w:t>
            </w:r>
          </w:p>
        </w:tc>
        <w:tc>
          <w:tcPr>
            <w:tcW w:w="1275" w:type="dxa"/>
          </w:tcPr>
          <w:p w14:paraId="61A2EDAF" w14:textId="77777777" w:rsidR="005C3026" w:rsidRPr="00163F8E" w:rsidRDefault="005C3026" w:rsidP="00527269">
            <w:pPr>
              <w:autoSpaceDE w:val="0"/>
              <w:autoSpaceDN w:val="0"/>
              <w:adjustRightInd w:val="0"/>
              <w:jc w:val="both"/>
              <w:rPr>
                <w:rFonts w:cstheme="minorHAnsi"/>
                <w:sz w:val="24"/>
                <w:szCs w:val="24"/>
              </w:rPr>
            </w:pPr>
          </w:p>
        </w:tc>
      </w:tr>
      <w:tr w:rsidR="005C3026" w:rsidRPr="00163F8E" w14:paraId="33D3041D" w14:textId="331B277A" w:rsidTr="005C3026">
        <w:tc>
          <w:tcPr>
            <w:tcW w:w="8359" w:type="dxa"/>
          </w:tcPr>
          <w:p w14:paraId="66D27B59" w14:textId="5224319C" w:rsidR="005C3026" w:rsidRPr="00163F8E" w:rsidRDefault="005C3026" w:rsidP="00881AA1">
            <w:pPr>
              <w:autoSpaceDE w:val="0"/>
              <w:autoSpaceDN w:val="0"/>
              <w:adjustRightInd w:val="0"/>
              <w:jc w:val="both"/>
              <w:rPr>
                <w:rFonts w:cstheme="minorHAnsi"/>
                <w:sz w:val="24"/>
                <w:szCs w:val="24"/>
              </w:rPr>
            </w:pPr>
            <w:r w:rsidRPr="00163F8E">
              <w:rPr>
                <w:rFonts w:cstheme="minorHAnsi"/>
                <w:sz w:val="24"/>
                <w:szCs w:val="24"/>
              </w:rPr>
              <w:t>1</w:t>
            </w:r>
            <w:r w:rsidR="00D31351">
              <w:rPr>
                <w:rFonts w:cstheme="minorHAnsi"/>
                <w:sz w:val="24"/>
                <w:szCs w:val="24"/>
              </w:rPr>
              <w:t>3</w:t>
            </w:r>
            <w:r w:rsidRPr="00163F8E">
              <w:rPr>
                <w:rFonts w:cstheme="minorHAnsi"/>
                <w:sz w:val="24"/>
                <w:szCs w:val="24"/>
              </w:rPr>
              <w:t xml:space="preserve">. Sendo adotado o pregão, a autoridade competente designou o pregoeiro e a respectiva equipe de apoio? (art. 3º, IV, §§1º e 2º da Lei </w:t>
            </w:r>
            <w:r>
              <w:rPr>
                <w:rFonts w:cstheme="minorHAnsi"/>
                <w:sz w:val="24"/>
                <w:szCs w:val="24"/>
              </w:rPr>
              <w:t>10.520/02, art</w:t>
            </w:r>
            <w:r w:rsidRPr="00163F8E">
              <w:rPr>
                <w:rFonts w:cstheme="minorHAnsi"/>
                <w:sz w:val="24"/>
                <w:szCs w:val="24"/>
              </w:rPr>
              <w:t xml:space="preserve">. </w:t>
            </w:r>
            <w:r>
              <w:rPr>
                <w:rFonts w:cstheme="minorHAnsi"/>
                <w:sz w:val="24"/>
                <w:szCs w:val="24"/>
              </w:rPr>
              <w:t>8</w:t>
            </w:r>
            <w:r w:rsidRPr="00163F8E">
              <w:rPr>
                <w:rFonts w:cstheme="minorHAnsi"/>
                <w:sz w:val="24"/>
                <w:szCs w:val="24"/>
              </w:rPr>
              <w:t xml:space="preserve">º, </w:t>
            </w:r>
            <w:r>
              <w:rPr>
                <w:rFonts w:cstheme="minorHAnsi"/>
                <w:sz w:val="24"/>
                <w:szCs w:val="24"/>
              </w:rPr>
              <w:t>VI</w:t>
            </w:r>
            <w:r w:rsidRPr="00163F8E">
              <w:rPr>
                <w:rFonts w:cstheme="minorHAnsi"/>
                <w:sz w:val="24"/>
                <w:szCs w:val="24"/>
              </w:rPr>
              <w:t xml:space="preserve"> do Decreto </w:t>
            </w:r>
            <w:r>
              <w:rPr>
                <w:rFonts w:cstheme="minorHAnsi"/>
                <w:sz w:val="24"/>
                <w:szCs w:val="24"/>
              </w:rPr>
              <w:t>10.024/19</w:t>
            </w:r>
            <w:r w:rsidRPr="00163F8E">
              <w:rPr>
                <w:rFonts w:cstheme="minorHAnsi"/>
                <w:sz w:val="24"/>
                <w:szCs w:val="24"/>
              </w:rPr>
              <w:t>)</w:t>
            </w:r>
          </w:p>
        </w:tc>
        <w:tc>
          <w:tcPr>
            <w:tcW w:w="1275" w:type="dxa"/>
          </w:tcPr>
          <w:p w14:paraId="0D418AF0" w14:textId="77777777" w:rsidR="005C3026" w:rsidRPr="00163F8E" w:rsidRDefault="005C3026" w:rsidP="00527269">
            <w:pPr>
              <w:autoSpaceDE w:val="0"/>
              <w:autoSpaceDN w:val="0"/>
              <w:adjustRightInd w:val="0"/>
              <w:jc w:val="both"/>
              <w:rPr>
                <w:rFonts w:cstheme="minorHAnsi"/>
                <w:sz w:val="24"/>
                <w:szCs w:val="24"/>
              </w:rPr>
            </w:pPr>
          </w:p>
        </w:tc>
      </w:tr>
      <w:tr w:rsidR="005C3026" w:rsidRPr="00163F8E" w14:paraId="2685F69D" w14:textId="29C4DB48" w:rsidTr="005C3026">
        <w:tc>
          <w:tcPr>
            <w:tcW w:w="8359" w:type="dxa"/>
          </w:tcPr>
          <w:p w14:paraId="72E06B6C" w14:textId="1E96B197" w:rsidR="005C3026" w:rsidRPr="00163F8E" w:rsidRDefault="005C3026" w:rsidP="00881AA1">
            <w:pPr>
              <w:autoSpaceDE w:val="0"/>
              <w:autoSpaceDN w:val="0"/>
              <w:adjustRightInd w:val="0"/>
              <w:jc w:val="both"/>
              <w:rPr>
                <w:rFonts w:cstheme="minorHAnsi"/>
                <w:sz w:val="24"/>
                <w:szCs w:val="24"/>
              </w:rPr>
            </w:pPr>
            <w:r w:rsidRPr="00163F8E">
              <w:rPr>
                <w:rFonts w:cstheme="minorHAnsi"/>
                <w:sz w:val="24"/>
                <w:szCs w:val="24"/>
              </w:rPr>
              <w:t>1</w:t>
            </w:r>
            <w:r w:rsidR="00D31351">
              <w:rPr>
                <w:rFonts w:cstheme="minorHAnsi"/>
                <w:sz w:val="24"/>
                <w:szCs w:val="24"/>
              </w:rPr>
              <w:t>3</w:t>
            </w:r>
            <w:r w:rsidRPr="00163F8E">
              <w:rPr>
                <w:rFonts w:cstheme="minorHAnsi"/>
                <w:sz w:val="24"/>
                <w:szCs w:val="24"/>
              </w:rPr>
              <w:t>.</w:t>
            </w:r>
            <w:r>
              <w:rPr>
                <w:rFonts w:cstheme="minorHAnsi"/>
                <w:sz w:val="24"/>
                <w:szCs w:val="24"/>
              </w:rPr>
              <w:t>1</w:t>
            </w:r>
            <w:r w:rsidRPr="00163F8E">
              <w:rPr>
                <w:rFonts w:cstheme="minorHAnsi"/>
                <w:sz w:val="24"/>
                <w:szCs w:val="24"/>
              </w:rPr>
              <w:t>. No caso de realizada a licitação por pregão presencial, consta a justificativa válida quanto à inviabilidade de utilizar-se o formato eletrônico? (</w:t>
            </w:r>
            <w:r>
              <w:rPr>
                <w:rFonts w:cstheme="minorHAnsi"/>
                <w:sz w:val="24"/>
                <w:szCs w:val="24"/>
              </w:rPr>
              <w:t xml:space="preserve">art. 1º, §4º do </w:t>
            </w:r>
            <w:r w:rsidRPr="00163F8E">
              <w:rPr>
                <w:rFonts w:cstheme="minorHAnsi"/>
                <w:sz w:val="24"/>
                <w:szCs w:val="24"/>
              </w:rPr>
              <w:t xml:space="preserve">Decreto </w:t>
            </w:r>
            <w:r>
              <w:rPr>
                <w:rFonts w:cstheme="minorHAnsi"/>
                <w:sz w:val="24"/>
                <w:szCs w:val="24"/>
              </w:rPr>
              <w:t>10.024</w:t>
            </w:r>
            <w:r w:rsidRPr="00163F8E">
              <w:rPr>
                <w:rFonts w:cstheme="minorHAnsi"/>
                <w:sz w:val="24"/>
                <w:szCs w:val="24"/>
              </w:rPr>
              <w:t>/20</w:t>
            </w:r>
            <w:r>
              <w:rPr>
                <w:rFonts w:cstheme="minorHAnsi"/>
                <w:sz w:val="24"/>
                <w:szCs w:val="24"/>
              </w:rPr>
              <w:t>19</w:t>
            </w:r>
            <w:r w:rsidRPr="00163F8E">
              <w:rPr>
                <w:rFonts w:cstheme="minorHAnsi"/>
                <w:sz w:val="24"/>
                <w:szCs w:val="24"/>
              </w:rPr>
              <w:t xml:space="preserve">) </w:t>
            </w:r>
          </w:p>
        </w:tc>
        <w:tc>
          <w:tcPr>
            <w:tcW w:w="1275" w:type="dxa"/>
          </w:tcPr>
          <w:p w14:paraId="4C5B3044" w14:textId="77777777" w:rsidR="005C3026" w:rsidRPr="00163F8E" w:rsidRDefault="005C3026" w:rsidP="00527269">
            <w:pPr>
              <w:autoSpaceDE w:val="0"/>
              <w:autoSpaceDN w:val="0"/>
              <w:adjustRightInd w:val="0"/>
              <w:jc w:val="both"/>
              <w:rPr>
                <w:rFonts w:cstheme="minorHAnsi"/>
                <w:sz w:val="24"/>
                <w:szCs w:val="24"/>
              </w:rPr>
            </w:pPr>
          </w:p>
        </w:tc>
      </w:tr>
      <w:tr w:rsidR="005C3026" w:rsidRPr="00163F8E" w14:paraId="07D9E974" w14:textId="7B0F143F" w:rsidTr="005C3026">
        <w:tc>
          <w:tcPr>
            <w:tcW w:w="8359" w:type="dxa"/>
          </w:tcPr>
          <w:p w14:paraId="7C52998E" w14:textId="0C0B6D09" w:rsidR="005C3026" w:rsidRPr="00163F8E" w:rsidRDefault="005C3026" w:rsidP="00527269">
            <w:pPr>
              <w:autoSpaceDE w:val="0"/>
              <w:autoSpaceDN w:val="0"/>
              <w:adjustRightInd w:val="0"/>
              <w:jc w:val="both"/>
              <w:rPr>
                <w:rFonts w:cstheme="minorHAnsi"/>
                <w:sz w:val="24"/>
                <w:szCs w:val="24"/>
              </w:rPr>
            </w:pPr>
            <w:r w:rsidRPr="00163F8E">
              <w:rPr>
                <w:rFonts w:cstheme="minorHAnsi"/>
                <w:sz w:val="24"/>
                <w:szCs w:val="24"/>
              </w:rPr>
              <w:t>1</w:t>
            </w:r>
            <w:r w:rsidR="00D31351">
              <w:rPr>
                <w:rFonts w:cstheme="minorHAnsi"/>
                <w:sz w:val="24"/>
                <w:szCs w:val="24"/>
              </w:rPr>
              <w:t>4</w:t>
            </w:r>
            <w:r w:rsidRPr="00163F8E">
              <w:rPr>
                <w:rFonts w:cstheme="minorHAnsi"/>
                <w:sz w:val="24"/>
                <w:szCs w:val="24"/>
              </w:rPr>
              <w:t>. Sendo adotada modalidade de licitação diversa do pregão, consta designação da Comissão de Licitação? (</w:t>
            </w:r>
            <w:r w:rsidRPr="00163F8E">
              <w:rPr>
                <w:rFonts w:cstheme="minorHAnsi"/>
                <w:bCs/>
                <w:sz w:val="24"/>
                <w:szCs w:val="24"/>
              </w:rPr>
              <w:t>art. 38, III, da Lei 8.666/93)</w:t>
            </w:r>
          </w:p>
        </w:tc>
        <w:tc>
          <w:tcPr>
            <w:tcW w:w="1275" w:type="dxa"/>
          </w:tcPr>
          <w:p w14:paraId="767A7BD8" w14:textId="77777777" w:rsidR="005C3026" w:rsidRPr="00163F8E" w:rsidRDefault="005C3026" w:rsidP="00527269">
            <w:pPr>
              <w:autoSpaceDE w:val="0"/>
              <w:autoSpaceDN w:val="0"/>
              <w:adjustRightInd w:val="0"/>
              <w:jc w:val="both"/>
              <w:rPr>
                <w:rFonts w:cstheme="minorHAnsi"/>
                <w:sz w:val="24"/>
                <w:szCs w:val="24"/>
              </w:rPr>
            </w:pPr>
          </w:p>
        </w:tc>
      </w:tr>
      <w:tr w:rsidR="005C3026" w:rsidRPr="00163F8E" w14:paraId="5115F0FF" w14:textId="714ACDEC" w:rsidTr="005C3026">
        <w:tc>
          <w:tcPr>
            <w:tcW w:w="8359" w:type="dxa"/>
          </w:tcPr>
          <w:p w14:paraId="4DDDCD33" w14:textId="3A66BA1D" w:rsidR="005C3026" w:rsidRPr="00163F8E" w:rsidRDefault="005C3026" w:rsidP="00A604DB">
            <w:pPr>
              <w:autoSpaceDE w:val="0"/>
              <w:autoSpaceDN w:val="0"/>
              <w:adjustRightInd w:val="0"/>
              <w:jc w:val="both"/>
              <w:rPr>
                <w:rFonts w:cstheme="minorHAnsi"/>
                <w:color w:val="FF0000"/>
                <w:sz w:val="24"/>
                <w:szCs w:val="24"/>
              </w:rPr>
            </w:pPr>
            <w:r w:rsidRPr="00163F8E">
              <w:rPr>
                <w:rFonts w:cstheme="minorHAnsi"/>
                <w:sz w:val="24"/>
                <w:szCs w:val="24"/>
              </w:rPr>
              <w:t>1</w:t>
            </w:r>
            <w:r w:rsidR="00D31351">
              <w:rPr>
                <w:rFonts w:cstheme="minorHAnsi"/>
                <w:sz w:val="24"/>
                <w:szCs w:val="24"/>
              </w:rPr>
              <w:t>5</w:t>
            </w:r>
            <w:r w:rsidRPr="00163F8E">
              <w:rPr>
                <w:rFonts w:cstheme="minorHAnsi"/>
                <w:sz w:val="24"/>
                <w:szCs w:val="24"/>
              </w:rPr>
              <w:t>. Caso tenha ha</w:t>
            </w:r>
            <w:r>
              <w:rPr>
                <w:rFonts w:cstheme="minorHAnsi"/>
                <w:sz w:val="24"/>
                <w:szCs w:val="24"/>
              </w:rPr>
              <w:t xml:space="preserve">vido exigência de amostra, ela </w:t>
            </w:r>
            <w:r w:rsidRPr="00163F8E">
              <w:rPr>
                <w:rFonts w:cstheme="minorHAnsi"/>
                <w:sz w:val="24"/>
                <w:szCs w:val="24"/>
              </w:rPr>
              <w:t xml:space="preserve">está prevista somente em relação ao vencedor e, tratando-se de pregão, apenas na fase de aceitação, após a etapa de lances? </w:t>
            </w:r>
            <w:r w:rsidRPr="00A604DB">
              <w:rPr>
                <w:rFonts w:cstheme="minorHAnsi"/>
                <w:sz w:val="24"/>
                <w:szCs w:val="24"/>
              </w:rPr>
              <w:t xml:space="preserve">(Art. 43, IV e V, da Lei 8.666/93) </w:t>
            </w:r>
          </w:p>
        </w:tc>
        <w:tc>
          <w:tcPr>
            <w:tcW w:w="1275" w:type="dxa"/>
          </w:tcPr>
          <w:p w14:paraId="6B78D4B8" w14:textId="77777777" w:rsidR="005C3026" w:rsidRPr="00163F8E" w:rsidRDefault="005C3026" w:rsidP="00527269">
            <w:pPr>
              <w:autoSpaceDE w:val="0"/>
              <w:autoSpaceDN w:val="0"/>
              <w:adjustRightInd w:val="0"/>
              <w:jc w:val="both"/>
              <w:rPr>
                <w:rFonts w:cstheme="minorHAnsi"/>
                <w:sz w:val="24"/>
                <w:szCs w:val="24"/>
              </w:rPr>
            </w:pPr>
          </w:p>
        </w:tc>
      </w:tr>
      <w:tr w:rsidR="005C3026" w:rsidRPr="00163F8E" w14:paraId="7F7502F8" w14:textId="48FAEE7D" w:rsidTr="005C3026">
        <w:tc>
          <w:tcPr>
            <w:tcW w:w="8359" w:type="dxa"/>
          </w:tcPr>
          <w:p w14:paraId="51CB4DD0" w14:textId="75926A9D" w:rsidR="005C3026" w:rsidRPr="00163F8E" w:rsidRDefault="005C3026" w:rsidP="00881AA1">
            <w:pPr>
              <w:autoSpaceDE w:val="0"/>
              <w:autoSpaceDN w:val="0"/>
              <w:adjustRightInd w:val="0"/>
              <w:jc w:val="both"/>
              <w:rPr>
                <w:rFonts w:cstheme="minorHAnsi"/>
                <w:sz w:val="24"/>
                <w:szCs w:val="24"/>
              </w:rPr>
            </w:pPr>
            <w:r w:rsidRPr="00163F8E">
              <w:rPr>
                <w:rFonts w:cstheme="minorHAnsi"/>
                <w:sz w:val="24"/>
                <w:szCs w:val="24"/>
              </w:rPr>
              <w:t>1</w:t>
            </w:r>
            <w:r w:rsidR="00D31351">
              <w:rPr>
                <w:rFonts w:cstheme="minorHAnsi"/>
                <w:sz w:val="24"/>
                <w:szCs w:val="24"/>
              </w:rPr>
              <w:t>6</w:t>
            </w:r>
            <w:r w:rsidRPr="00163F8E">
              <w:rPr>
                <w:rFonts w:cstheme="minorHAnsi"/>
                <w:sz w:val="24"/>
                <w:szCs w:val="24"/>
              </w:rPr>
              <w:t xml:space="preserve">. Há autorização da autoridade competente permitindo o início do procedimento licitatório? (art. 38, caput, da Lei </w:t>
            </w:r>
            <w:r>
              <w:rPr>
                <w:rFonts w:cstheme="minorHAnsi"/>
                <w:sz w:val="24"/>
                <w:szCs w:val="24"/>
              </w:rPr>
              <w:t>8.666/93 e art</w:t>
            </w:r>
            <w:r w:rsidRPr="00163F8E">
              <w:rPr>
                <w:rFonts w:cstheme="minorHAnsi"/>
                <w:sz w:val="24"/>
                <w:szCs w:val="24"/>
              </w:rPr>
              <w:t>. 8º,</w:t>
            </w:r>
            <w:r>
              <w:rPr>
                <w:rFonts w:cstheme="minorHAnsi"/>
                <w:sz w:val="24"/>
                <w:szCs w:val="24"/>
              </w:rPr>
              <w:t xml:space="preserve"> V do Decreto nº 10.024/19</w:t>
            </w:r>
            <w:r w:rsidRPr="00163F8E">
              <w:rPr>
                <w:rFonts w:cstheme="minorHAnsi"/>
                <w:sz w:val="24"/>
                <w:szCs w:val="24"/>
              </w:rPr>
              <w:t>)</w:t>
            </w:r>
          </w:p>
        </w:tc>
        <w:tc>
          <w:tcPr>
            <w:tcW w:w="1275" w:type="dxa"/>
          </w:tcPr>
          <w:p w14:paraId="3E4BB859" w14:textId="77777777" w:rsidR="005C3026" w:rsidRPr="00163F8E" w:rsidRDefault="005C3026" w:rsidP="00527269">
            <w:pPr>
              <w:autoSpaceDE w:val="0"/>
              <w:autoSpaceDN w:val="0"/>
              <w:adjustRightInd w:val="0"/>
              <w:jc w:val="both"/>
              <w:rPr>
                <w:rFonts w:cstheme="minorHAnsi"/>
                <w:sz w:val="24"/>
                <w:szCs w:val="24"/>
              </w:rPr>
            </w:pPr>
          </w:p>
        </w:tc>
      </w:tr>
      <w:tr w:rsidR="005C3026" w:rsidRPr="00163F8E" w14:paraId="61229226" w14:textId="48487253" w:rsidTr="005C3026">
        <w:tc>
          <w:tcPr>
            <w:tcW w:w="8359" w:type="dxa"/>
          </w:tcPr>
          <w:p w14:paraId="46FFDF33" w14:textId="5FED0E4E" w:rsidR="005C3026" w:rsidRPr="00163F8E" w:rsidRDefault="005C3026" w:rsidP="00881AA1">
            <w:pPr>
              <w:autoSpaceDE w:val="0"/>
              <w:autoSpaceDN w:val="0"/>
              <w:adjustRightInd w:val="0"/>
              <w:jc w:val="both"/>
              <w:rPr>
                <w:rFonts w:cstheme="minorHAnsi"/>
                <w:sz w:val="24"/>
                <w:szCs w:val="24"/>
              </w:rPr>
            </w:pPr>
            <w:r w:rsidRPr="00163F8E">
              <w:rPr>
                <w:rFonts w:cstheme="minorHAnsi"/>
                <w:sz w:val="24"/>
                <w:szCs w:val="24"/>
              </w:rPr>
              <w:t>1</w:t>
            </w:r>
            <w:r w:rsidR="00D31351">
              <w:rPr>
                <w:rFonts w:cstheme="minorHAnsi"/>
                <w:sz w:val="24"/>
                <w:szCs w:val="24"/>
              </w:rPr>
              <w:t>7</w:t>
            </w:r>
            <w:r w:rsidRPr="00163F8E">
              <w:rPr>
                <w:rFonts w:cstheme="minorHAnsi"/>
                <w:sz w:val="24"/>
                <w:szCs w:val="24"/>
              </w:rPr>
              <w:t xml:space="preserve">. Há minuta de edital? (art. 4º, III, da Lei 10.520/02, art. </w:t>
            </w:r>
            <w:r>
              <w:rPr>
                <w:rFonts w:cstheme="minorHAnsi"/>
                <w:sz w:val="24"/>
                <w:szCs w:val="24"/>
              </w:rPr>
              <w:t>8</w:t>
            </w:r>
            <w:r w:rsidRPr="00163F8E">
              <w:rPr>
                <w:rFonts w:cstheme="minorHAnsi"/>
                <w:sz w:val="24"/>
                <w:szCs w:val="24"/>
              </w:rPr>
              <w:t>º, V</w:t>
            </w:r>
            <w:r>
              <w:rPr>
                <w:rFonts w:cstheme="minorHAnsi"/>
                <w:sz w:val="24"/>
                <w:szCs w:val="24"/>
              </w:rPr>
              <w:t>II</w:t>
            </w:r>
            <w:r w:rsidRPr="00163F8E">
              <w:rPr>
                <w:rFonts w:cstheme="minorHAnsi"/>
                <w:sz w:val="24"/>
                <w:szCs w:val="24"/>
              </w:rPr>
              <w:t xml:space="preserve"> </w:t>
            </w:r>
            <w:r>
              <w:rPr>
                <w:rFonts w:cstheme="minorHAnsi"/>
                <w:sz w:val="24"/>
                <w:szCs w:val="24"/>
              </w:rPr>
              <w:t>do Decreto nº 10.024/19</w:t>
            </w:r>
            <w:r w:rsidRPr="00163F8E">
              <w:rPr>
                <w:rFonts w:cstheme="minorHAnsi"/>
                <w:sz w:val="24"/>
                <w:szCs w:val="24"/>
              </w:rPr>
              <w:t xml:space="preserve"> e art. 40 da Lei 8.666/93)</w:t>
            </w:r>
          </w:p>
        </w:tc>
        <w:tc>
          <w:tcPr>
            <w:tcW w:w="1275" w:type="dxa"/>
          </w:tcPr>
          <w:p w14:paraId="7063E1BF" w14:textId="77777777" w:rsidR="005C3026" w:rsidRPr="00163F8E" w:rsidRDefault="005C3026" w:rsidP="00527269">
            <w:pPr>
              <w:autoSpaceDE w:val="0"/>
              <w:autoSpaceDN w:val="0"/>
              <w:adjustRightInd w:val="0"/>
              <w:jc w:val="both"/>
              <w:rPr>
                <w:rFonts w:cstheme="minorHAnsi"/>
                <w:sz w:val="24"/>
                <w:szCs w:val="24"/>
              </w:rPr>
            </w:pPr>
          </w:p>
        </w:tc>
      </w:tr>
      <w:tr w:rsidR="005C3026" w:rsidRPr="00163F8E" w14:paraId="2F412B6D" w14:textId="77777777" w:rsidTr="005C3026">
        <w:tc>
          <w:tcPr>
            <w:tcW w:w="8359" w:type="dxa"/>
          </w:tcPr>
          <w:p w14:paraId="3AB70ADD" w14:textId="5F907D44" w:rsidR="005C3026" w:rsidRPr="00163F8E" w:rsidRDefault="005C3026" w:rsidP="00A604DB">
            <w:pPr>
              <w:autoSpaceDE w:val="0"/>
              <w:autoSpaceDN w:val="0"/>
              <w:adjustRightInd w:val="0"/>
              <w:jc w:val="both"/>
              <w:rPr>
                <w:rFonts w:cstheme="minorHAnsi"/>
                <w:sz w:val="24"/>
                <w:szCs w:val="24"/>
              </w:rPr>
            </w:pPr>
            <w:r w:rsidRPr="00163F8E">
              <w:rPr>
                <w:rFonts w:cstheme="minorHAnsi"/>
                <w:sz w:val="24"/>
                <w:szCs w:val="24"/>
              </w:rPr>
              <w:t>1</w:t>
            </w:r>
            <w:r w:rsidR="00D31351">
              <w:rPr>
                <w:rFonts w:cstheme="minorHAnsi"/>
                <w:sz w:val="24"/>
                <w:szCs w:val="24"/>
              </w:rPr>
              <w:t>7</w:t>
            </w:r>
            <w:r w:rsidRPr="00163F8E">
              <w:rPr>
                <w:rFonts w:cstheme="minorHAnsi"/>
                <w:sz w:val="24"/>
                <w:szCs w:val="24"/>
              </w:rPr>
              <w:t>.1. Foram utilizados os modelos padronizados de instrumentos convocatórios da Advocacia-Geral União?</w:t>
            </w:r>
            <w:r>
              <w:rPr>
                <w:rFonts w:cstheme="minorHAnsi"/>
                <w:sz w:val="24"/>
                <w:szCs w:val="24"/>
              </w:rPr>
              <w:t xml:space="preserve"> (Enunciado nº 6 do Manual de Boas Práticas Consultivas).</w:t>
            </w:r>
            <w:r w:rsidRPr="00106759">
              <w:rPr>
                <w:rFonts w:cstheme="minorHAnsi"/>
                <w:strike/>
                <w:sz w:val="24"/>
                <w:szCs w:val="24"/>
              </w:rPr>
              <w:t xml:space="preserve"> </w:t>
            </w:r>
            <w:r>
              <w:rPr>
                <w:rFonts w:cstheme="minorHAnsi"/>
                <w:sz w:val="24"/>
                <w:szCs w:val="24"/>
              </w:rPr>
              <w:t xml:space="preserve"> </w:t>
            </w:r>
            <w:r w:rsidRPr="00163F8E">
              <w:rPr>
                <w:rFonts w:cstheme="minorHAnsi"/>
                <w:sz w:val="24"/>
                <w:szCs w:val="24"/>
              </w:rPr>
              <w:t xml:space="preserve"> </w:t>
            </w:r>
          </w:p>
        </w:tc>
        <w:tc>
          <w:tcPr>
            <w:tcW w:w="1275" w:type="dxa"/>
          </w:tcPr>
          <w:p w14:paraId="1B2881DA" w14:textId="77777777" w:rsidR="005C3026" w:rsidRPr="00163F8E" w:rsidRDefault="005C3026" w:rsidP="00527269">
            <w:pPr>
              <w:autoSpaceDE w:val="0"/>
              <w:autoSpaceDN w:val="0"/>
              <w:adjustRightInd w:val="0"/>
              <w:jc w:val="both"/>
              <w:rPr>
                <w:rFonts w:cstheme="minorHAnsi"/>
                <w:sz w:val="24"/>
                <w:szCs w:val="24"/>
              </w:rPr>
            </w:pPr>
          </w:p>
        </w:tc>
      </w:tr>
      <w:tr w:rsidR="005C3026" w:rsidRPr="00163F8E" w14:paraId="6C2D2D2F" w14:textId="7F8BC5B5" w:rsidTr="005C3026">
        <w:tc>
          <w:tcPr>
            <w:tcW w:w="8359" w:type="dxa"/>
          </w:tcPr>
          <w:p w14:paraId="064DA7DB" w14:textId="5815F1E1" w:rsidR="005C3026" w:rsidRPr="00163F8E" w:rsidRDefault="005C3026" w:rsidP="00C83F8C">
            <w:pPr>
              <w:autoSpaceDE w:val="0"/>
              <w:autoSpaceDN w:val="0"/>
              <w:adjustRightInd w:val="0"/>
              <w:jc w:val="both"/>
              <w:rPr>
                <w:rFonts w:cstheme="minorHAnsi"/>
                <w:sz w:val="24"/>
                <w:szCs w:val="24"/>
              </w:rPr>
            </w:pPr>
            <w:r w:rsidRPr="00163F8E">
              <w:rPr>
                <w:rFonts w:cstheme="minorHAnsi"/>
                <w:sz w:val="24"/>
                <w:szCs w:val="24"/>
              </w:rPr>
              <w:t>1</w:t>
            </w:r>
            <w:r w:rsidR="00D31351">
              <w:rPr>
                <w:rFonts w:cstheme="minorHAnsi"/>
                <w:sz w:val="24"/>
                <w:szCs w:val="24"/>
              </w:rPr>
              <w:t>7</w:t>
            </w:r>
            <w:r w:rsidRPr="00163F8E">
              <w:rPr>
                <w:rFonts w:cstheme="minorHAnsi"/>
                <w:sz w:val="24"/>
                <w:szCs w:val="24"/>
              </w:rPr>
              <w:t xml:space="preserve">.1.1. Eventuais alterações nos modelos ou a não utilização, foram devidamente justificadas no processo? </w:t>
            </w:r>
          </w:p>
        </w:tc>
        <w:tc>
          <w:tcPr>
            <w:tcW w:w="1275" w:type="dxa"/>
          </w:tcPr>
          <w:p w14:paraId="001D2D5A" w14:textId="77777777" w:rsidR="005C3026" w:rsidRPr="00163F8E" w:rsidRDefault="005C3026" w:rsidP="00527269">
            <w:pPr>
              <w:autoSpaceDE w:val="0"/>
              <w:autoSpaceDN w:val="0"/>
              <w:adjustRightInd w:val="0"/>
              <w:jc w:val="both"/>
              <w:rPr>
                <w:rFonts w:cstheme="minorHAnsi"/>
                <w:sz w:val="24"/>
                <w:szCs w:val="24"/>
              </w:rPr>
            </w:pPr>
          </w:p>
        </w:tc>
      </w:tr>
      <w:tr w:rsidR="005C3026" w:rsidRPr="00163F8E" w14:paraId="47093118" w14:textId="3F4B04C8" w:rsidTr="005C3026">
        <w:tc>
          <w:tcPr>
            <w:tcW w:w="8359" w:type="dxa"/>
          </w:tcPr>
          <w:p w14:paraId="2BF1B86D" w14:textId="1195301A" w:rsidR="005C3026" w:rsidRPr="00163F8E" w:rsidRDefault="005C3026" w:rsidP="00527269">
            <w:pPr>
              <w:autoSpaceDE w:val="0"/>
              <w:autoSpaceDN w:val="0"/>
              <w:adjustRightInd w:val="0"/>
              <w:jc w:val="both"/>
              <w:rPr>
                <w:rFonts w:cstheme="minorHAnsi"/>
                <w:color w:val="FF0000"/>
                <w:sz w:val="24"/>
                <w:szCs w:val="24"/>
              </w:rPr>
            </w:pPr>
            <w:r w:rsidRPr="00163F8E">
              <w:rPr>
                <w:rFonts w:cstheme="minorHAnsi"/>
                <w:sz w:val="24"/>
                <w:szCs w:val="24"/>
              </w:rPr>
              <w:t>1</w:t>
            </w:r>
            <w:r w:rsidR="00D31351">
              <w:rPr>
                <w:rFonts w:cstheme="minorHAnsi"/>
                <w:sz w:val="24"/>
                <w:szCs w:val="24"/>
              </w:rPr>
              <w:t>7</w:t>
            </w:r>
            <w:r w:rsidRPr="00163F8E">
              <w:rPr>
                <w:rFonts w:cstheme="minorHAnsi"/>
                <w:sz w:val="24"/>
                <w:szCs w:val="24"/>
              </w:rPr>
              <w:t>.2. A minuta de contrato ou de instrumento assemelhado constitui anexo à minuta do edital? (art. 40, §2º, III, da Lei 8.666/93)</w:t>
            </w:r>
          </w:p>
          <w:p w14:paraId="1C2B5FDC" w14:textId="178F39D5" w:rsidR="005C3026" w:rsidRPr="00163F8E" w:rsidRDefault="005C3026" w:rsidP="005C3026">
            <w:pPr>
              <w:autoSpaceDE w:val="0"/>
              <w:autoSpaceDN w:val="0"/>
              <w:adjustRightInd w:val="0"/>
              <w:jc w:val="both"/>
              <w:rPr>
                <w:rFonts w:cstheme="minorHAnsi"/>
                <w:color w:val="FF0000"/>
                <w:sz w:val="24"/>
                <w:szCs w:val="24"/>
              </w:rPr>
            </w:pPr>
            <w:r w:rsidRPr="00163F8E">
              <w:rPr>
                <w:rFonts w:cstheme="minorHAnsi"/>
                <w:color w:val="FF0000"/>
                <w:sz w:val="24"/>
                <w:szCs w:val="24"/>
              </w:rPr>
              <w:t>Obs</w:t>
            </w:r>
            <w:r>
              <w:rPr>
                <w:rFonts w:cstheme="minorHAnsi"/>
                <w:color w:val="FF0000"/>
                <w:sz w:val="24"/>
                <w:szCs w:val="24"/>
              </w:rPr>
              <w:t>.</w:t>
            </w:r>
            <w:r w:rsidRPr="00163F8E">
              <w:rPr>
                <w:rFonts w:cstheme="minorHAnsi"/>
                <w:color w:val="FF0000"/>
                <w:sz w:val="24"/>
                <w:szCs w:val="24"/>
              </w:rPr>
              <w:t>: se a Administração Pública desejar substituir o contrato por outros instrumentos hábeis na forma do art. 62 da Lei 8.666/</w:t>
            </w:r>
            <w:r>
              <w:rPr>
                <w:rFonts w:cstheme="minorHAnsi"/>
                <w:color w:val="FF0000"/>
                <w:sz w:val="24"/>
                <w:szCs w:val="24"/>
              </w:rPr>
              <w:t>93, deverá justificar a decisão.</w:t>
            </w:r>
          </w:p>
        </w:tc>
        <w:tc>
          <w:tcPr>
            <w:tcW w:w="1275" w:type="dxa"/>
          </w:tcPr>
          <w:p w14:paraId="077CB554" w14:textId="77777777" w:rsidR="005C3026" w:rsidRPr="00163F8E" w:rsidRDefault="005C3026" w:rsidP="00527269">
            <w:pPr>
              <w:autoSpaceDE w:val="0"/>
              <w:autoSpaceDN w:val="0"/>
              <w:adjustRightInd w:val="0"/>
              <w:jc w:val="both"/>
              <w:rPr>
                <w:rFonts w:cstheme="minorHAnsi"/>
                <w:sz w:val="24"/>
                <w:szCs w:val="24"/>
              </w:rPr>
            </w:pPr>
          </w:p>
        </w:tc>
      </w:tr>
      <w:tr w:rsidR="005C3026" w:rsidRPr="00163F8E" w14:paraId="014C2D07" w14:textId="62FC7B98" w:rsidTr="005C3026">
        <w:tc>
          <w:tcPr>
            <w:tcW w:w="8359" w:type="dxa"/>
          </w:tcPr>
          <w:p w14:paraId="46AD4C12" w14:textId="2ADE25F3" w:rsidR="005C3026" w:rsidRPr="00163F8E" w:rsidRDefault="005C3026" w:rsidP="00A604DB">
            <w:pPr>
              <w:autoSpaceDE w:val="0"/>
              <w:autoSpaceDN w:val="0"/>
              <w:adjustRightInd w:val="0"/>
              <w:jc w:val="both"/>
              <w:rPr>
                <w:rFonts w:cstheme="minorHAnsi"/>
                <w:sz w:val="24"/>
                <w:szCs w:val="24"/>
              </w:rPr>
            </w:pPr>
            <w:r w:rsidRPr="00163F8E">
              <w:rPr>
                <w:rFonts w:cstheme="minorHAnsi"/>
                <w:color w:val="000000" w:themeColor="text1"/>
                <w:sz w:val="24"/>
                <w:szCs w:val="24"/>
              </w:rPr>
              <w:t>1</w:t>
            </w:r>
            <w:r w:rsidR="00D31351">
              <w:rPr>
                <w:rFonts w:cstheme="minorHAnsi"/>
                <w:color w:val="000000" w:themeColor="text1"/>
                <w:sz w:val="24"/>
                <w:szCs w:val="24"/>
              </w:rPr>
              <w:t>7</w:t>
            </w:r>
            <w:r w:rsidRPr="00163F8E">
              <w:rPr>
                <w:rFonts w:cstheme="minorHAnsi"/>
                <w:color w:val="000000" w:themeColor="text1"/>
                <w:sz w:val="24"/>
                <w:szCs w:val="24"/>
              </w:rPr>
              <w:t xml:space="preserve">.3. Tratando-se de modalidade diversa do pregão, o orçamento estimado em planilhas de quantitativos e preços unitários está anexo ao edital? (art. </w:t>
            </w:r>
            <w:proofErr w:type="gramStart"/>
            <w:r w:rsidRPr="00163F8E">
              <w:rPr>
                <w:rFonts w:cstheme="minorHAnsi"/>
                <w:color w:val="000000" w:themeColor="text1"/>
                <w:sz w:val="24"/>
                <w:szCs w:val="24"/>
              </w:rPr>
              <w:t>40 ,</w:t>
            </w:r>
            <w:proofErr w:type="gramEnd"/>
            <w:r w:rsidRPr="00163F8E">
              <w:rPr>
                <w:rFonts w:cstheme="minorHAnsi"/>
                <w:color w:val="000000" w:themeColor="text1"/>
                <w:sz w:val="24"/>
                <w:szCs w:val="24"/>
              </w:rPr>
              <w:t xml:space="preserve"> §2º, II, da Lei 8.666/93) </w:t>
            </w:r>
          </w:p>
        </w:tc>
        <w:tc>
          <w:tcPr>
            <w:tcW w:w="1275" w:type="dxa"/>
          </w:tcPr>
          <w:p w14:paraId="348C63E0" w14:textId="77777777" w:rsidR="005C3026" w:rsidRPr="00163F8E" w:rsidRDefault="005C3026" w:rsidP="00527269">
            <w:pPr>
              <w:autoSpaceDE w:val="0"/>
              <w:autoSpaceDN w:val="0"/>
              <w:adjustRightInd w:val="0"/>
              <w:jc w:val="both"/>
              <w:rPr>
                <w:rFonts w:cstheme="minorHAnsi"/>
                <w:color w:val="000000" w:themeColor="text1"/>
                <w:sz w:val="24"/>
                <w:szCs w:val="24"/>
              </w:rPr>
            </w:pPr>
          </w:p>
        </w:tc>
      </w:tr>
      <w:tr w:rsidR="005C3026" w:rsidRPr="00163F8E" w14:paraId="7BF15CFC" w14:textId="30374428" w:rsidTr="005C3026">
        <w:tc>
          <w:tcPr>
            <w:tcW w:w="8359" w:type="dxa"/>
          </w:tcPr>
          <w:p w14:paraId="2F9ED8D6" w14:textId="0DD71396" w:rsidR="005C3026" w:rsidRPr="00163F8E" w:rsidRDefault="005C3026" w:rsidP="005C3026">
            <w:pPr>
              <w:autoSpaceDE w:val="0"/>
              <w:autoSpaceDN w:val="0"/>
              <w:adjustRightInd w:val="0"/>
              <w:jc w:val="both"/>
              <w:rPr>
                <w:rFonts w:cstheme="minorHAnsi"/>
                <w:sz w:val="24"/>
                <w:szCs w:val="24"/>
              </w:rPr>
            </w:pPr>
            <w:r>
              <w:rPr>
                <w:rFonts w:cstheme="minorHAnsi"/>
                <w:sz w:val="24"/>
                <w:szCs w:val="24"/>
              </w:rPr>
              <w:t>1</w:t>
            </w:r>
            <w:r w:rsidR="00D31351">
              <w:rPr>
                <w:rFonts w:cstheme="minorHAnsi"/>
                <w:sz w:val="24"/>
                <w:szCs w:val="24"/>
              </w:rPr>
              <w:t>8</w:t>
            </w:r>
            <w:r w:rsidRPr="00163F8E">
              <w:rPr>
                <w:rFonts w:cstheme="minorHAnsi"/>
                <w:sz w:val="24"/>
                <w:szCs w:val="24"/>
              </w:rPr>
              <w:t>. Os responsáveis pela elaboração do edital e dos anexos foram devidamente identificados no processo? (art. 21, VI, da IN CONJUNTA MP/CGU 01/2016)</w:t>
            </w:r>
          </w:p>
        </w:tc>
        <w:tc>
          <w:tcPr>
            <w:tcW w:w="1275" w:type="dxa"/>
          </w:tcPr>
          <w:p w14:paraId="554C3901" w14:textId="77777777" w:rsidR="005C3026" w:rsidRPr="00163F8E" w:rsidRDefault="005C3026" w:rsidP="00527269">
            <w:pPr>
              <w:autoSpaceDE w:val="0"/>
              <w:autoSpaceDN w:val="0"/>
              <w:adjustRightInd w:val="0"/>
              <w:jc w:val="both"/>
              <w:rPr>
                <w:rFonts w:cstheme="minorHAnsi"/>
                <w:sz w:val="24"/>
                <w:szCs w:val="24"/>
              </w:rPr>
            </w:pPr>
          </w:p>
        </w:tc>
      </w:tr>
    </w:tbl>
    <w:p w14:paraId="2D07495D" w14:textId="77777777" w:rsidR="0033051B" w:rsidRPr="003B5DD8" w:rsidRDefault="0033051B" w:rsidP="0033051B">
      <w:pPr>
        <w:autoSpaceDE w:val="0"/>
        <w:autoSpaceDN w:val="0"/>
        <w:adjustRightInd w:val="0"/>
        <w:spacing w:after="0" w:line="240" w:lineRule="auto"/>
        <w:jc w:val="both"/>
        <w:rPr>
          <w:rFonts w:cstheme="minorHAnsi"/>
          <w:sz w:val="24"/>
          <w:szCs w:val="24"/>
        </w:rPr>
      </w:pPr>
    </w:p>
    <w:tbl>
      <w:tblPr>
        <w:tblStyle w:val="Tabelacomgrade"/>
        <w:tblW w:w="9634" w:type="dxa"/>
        <w:tblLayout w:type="fixed"/>
        <w:tblLook w:val="04A0" w:firstRow="1" w:lastRow="0" w:firstColumn="1" w:lastColumn="0" w:noHBand="0" w:noVBand="1"/>
      </w:tblPr>
      <w:tblGrid>
        <w:gridCol w:w="8359"/>
        <w:gridCol w:w="1275"/>
      </w:tblGrid>
      <w:tr w:rsidR="005C3026" w:rsidRPr="00BD15D6" w14:paraId="72C97270" w14:textId="2CE55D05" w:rsidTr="005C3026">
        <w:tc>
          <w:tcPr>
            <w:tcW w:w="8359" w:type="dxa"/>
          </w:tcPr>
          <w:p w14:paraId="184A3B16" w14:textId="77777777" w:rsidR="005C3026" w:rsidRPr="00BD15D6" w:rsidRDefault="005C3026" w:rsidP="00FE36B1">
            <w:pPr>
              <w:autoSpaceDE w:val="0"/>
              <w:autoSpaceDN w:val="0"/>
              <w:adjustRightInd w:val="0"/>
              <w:jc w:val="both"/>
              <w:rPr>
                <w:rFonts w:cstheme="minorHAnsi"/>
                <w:b/>
                <w:sz w:val="24"/>
                <w:szCs w:val="24"/>
              </w:rPr>
            </w:pPr>
            <w:r w:rsidRPr="00BD15D6">
              <w:rPr>
                <w:rFonts w:cstheme="minorHAnsi"/>
                <w:b/>
                <w:sz w:val="24"/>
                <w:szCs w:val="24"/>
              </w:rPr>
              <w:t xml:space="preserve">VERIFICAÇÃO </w:t>
            </w:r>
            <w:r w:rsidRPr="00BD15D6">
              <w:rPr>
                <w:rFonts w:cstheme="minorHAnsi"/>
                <w:b/>
                <w:sz w:val="24"/>
                <w:szCs w:val="24"/>
                <w:u w:val="single"/>
              </w:rPr>
              <w:t>ESPECÍFICA PARA SISTEMA DE REGISTRO DE PREÇOS</w:t>
            </w:r>
          </w:p>
        </w:tc>
        <w:tc>
          <w:tcPr>
            <w:tcW w:w="1275" w:type="dxa"/>
          </w:tcPr>
          <w:p w14:paraId="69640CE4" w14:textId="77777777" w:rsidR="005C3026" w:rsidRPr="00BD15D6" w:rsidRDefault="005C3026" w:rsidP="00FE36B1">
            <w:pPr>
              <w:autoSpaceDE w:val="0"/>
              <w:autoSpaceDN w:val="0"/>
              <w:adjustRightInd w:val="0"/>
              <w:jc w:val="both"/>
              <w:rPr>
                <w:rFonts w:cstheme="minorHAnsi"/>
                <w:szCs w:val="24"/>
              </w:rPr>
            </w:pPr>
            <w:r w:rsidRPr="00BD15D6">
              <w:rPr>
                <w:rFonts w:cstheme="minorHAnsi"/>
                <w:szCs w:val="24"/>
              </w:rPr>
              <w:t>ESTADO</w:t>
            </w:r>
          </w:p>
          <w:p w14:paraId="1D854810" w14:textId="67991626" w:rsidR="005C3026" w:rsidRPr="00BD15D6" w:rsidRDefault="005C3026" w:rsidP="00FE36B1">
            <w:pPr>
              <w:autoSpaceDE w:val="0"/>
              <w:autoSpaceDN w:val="0"/>
              <w:adjustRightInd w:val="0"/>
              <w:jc w:val="both"/>
              <w:rPr>
                <w:rFonts w:cstheme="minorHAnsi"/>
                <w:b/>
                <w:szCs w:val="24"/>
              </w:rPr>
            </w:pPr>
            <w:r w:rsidRPr="00BD15D6">
              <w:rPr>
                <w:rFonts w:cstheme="minorHAnsi"/>
                <w:szCs w:val="24"/>
              </w:rPr>
              <w:t>S / N / N.A.</w:t>
            </w:r>
          </w:p>
        </w:tc>
      </w:tr>
      <w:tr w:rsidR="005C3026" w:rsidRPr="00BD15D6" w14:paraId="7ACCC71C" w14:textId="27D5F2A7" w:rsidTr="005C3026">
        <w:tc>
          <w:tcPr>
            <w:tcW w:w="8359" w:type="dxa"/>
          </w:tcPr>
          <w:p w14:paraId="4E219E90" w14:textId="2814ED63" w:rsidR="005C3026" w:rsidRPr="00BD15D6" w:rsidRDefault="00D31351" w:rsidP="00FE36B1">
            <w:pPr>
              <w:autoSpaceDE w:val="0"/>
              <w:autoSpaceDN w:val="0"/>
              <w:adjustRightInd w:val="0"/>
              <w:jc w:val="both"/>
              <w:rPr>
                <w:rFonts w:cstheme="minorHAnsi"/>
                <w:sz w:val="24"/>
                <w:szCs w:val="24"/>
              </w:rPr>
            </w:pPr>
            <w:r>
              <w:rPr>
                <w:rFonts w:cstheme="minorHAnsi"/>
                <w:sz w:val="24"/>
                <w:szCs w:val="24"/>
              </w:rPr>
              <w:t>19</w:t>
            </w:r>
            <w:r w:rsidR="005C3026" w:rsidRPr="00BD15D6">
              <w:rPr>
                <w:rFonts w:cstheme="minorHAnsi"/>
                <w:sz w:val="24"/>
                <w:szCs w:val="24"/>
              </w:rPr>
              <w:t>. Autoridade competente justificou a utilização do SRP com base em alguma das hipóteses previstas no artigo 3º do Decreto 7.892 de 23 de janeiro de 2013?</w:t>
            </w:r>
          </w:p>
        </w:tc>
        <w:tc>
          <w:tcPr>
            <w:tcW w:w="1275" w:type="dxa"/>
          </w:tcPr>
          <w:p w14:paraId="1F803790" w14:textId="77777777" w:rsidR="005C3026" w:rsidRPr="00BD15D6" w:rsidRDefault="005C3026" w:rsidP="00FE36B1">
            <w:pPr>
              <w:autoSpaceDE w:val="0"/>
              <w:autoSpaceDN w:val="0"/>
              <w:adjustRightInd w:val="0"/>
              <w:jc w:val="both"/>
              <w:rPr>
                <w:rFonts w:cstheme="minorHAnsi"/>
                <w:sz w:val="24"/>
                <w:szCs w:val="24"/>
              </w:rPr>
            </w:pPr>
          </w:p>
        </w:tc>
      </w:tr>
      <w:tr w:rsidR="005C3026" w:rsidRPr="00BD15D6" w14:paraId="1184F186" w14:textId="5F4654B7" w:rsidTr="005C3026">
        <w:tc>
          <w:tcPr>
            <w:tcW w:w="8359" w:type="dxa"/>
          </w:tcPr>
          <w:p w14:paraId="1CFF8458" w14:textId="4AD2A417" w:rsidR="005C3026" w:rsidRPr="00BD15D6" w:rsidRDefault="005C3026" w:rsidP="00764D89">
            <w:pPr>
              <w:autoSpaceDE w:val="0"/>
              <w:autoSpaceDN w:val="0"/>
              <w:adjustRightInd w:val="0"/>
              <w:jc w:val="both"/>
              <w:rPr>
                <w:rFonts w:cstheme="minorHAnsi"/>
                <w:sz w:val="24"/>
                <w:szCs w:val="24"/>
              </w:rPr>
            </w:pPr>
            <w:r w:rsidRPr="00BD15D6">
              <w:rPr>
                <w:rFonts w:cstheme="minorHAnsi"/>
                <w:sz w:val="24"/>
                <w:szCs w:val="24"/>
              </w:rPr>
              <w:t>2</w:t>
            </w:r>
            <w:r w:rsidR="00D31351">
              <w:rPr>
                <w:rFonts w:cstheme="minorHAnsi"/>
                <w:sz w:val="24"/>
                <w:szCs w:val="24"/>
              </w:rPr>
              <w:t>0</w:t>
            </w:r>
            <w:r w:rsidRPr="00BD15D6">
              <w:rPr>
                <w:rFonts w:cstheme="minorHAnsi"/>
                <w:sz w:val="24"/>
                <w:szCs w:val="24"/>
              </w:rPr>
              <w:t xml:space="preserve">. </w:t>
            </w:r>
            <w:r w:rsidR="00A05093">
              <w:rPr>
                <w:rFonts w:cstheme="minorHAnsi"/>
                <w:sz w:val="24"/>
                <w:szCs w:val="24"/>
              </w:rPr>
              <w:t>Foi realizado</w:t>
            </w:r>
            <w:r w:rsidRPr="00BD15D6">
              <w:rPr>
                <w:rFonts w:cstheme="minorHAnsi"/>
                <w:sz w:val="24"/>
                <w:szCs w:val="24"/>
              </w:rPr>
              <w:t xml:space="preserve"> o procedimento de Intenção de Registro de Preços – IRP, visando </w:t>
            </w:r>
            <w:r>
              <w:rPr>
                <w:rFonts w:cstheme="minorHAnsi"/>
                <w:sz w:val="24"/>
                <w:szCs w:val="24"/>
              </w:rPr>
              <w:t>a</w:t>
            </w:r>
            <w:r w:rsidRPr="00BD15D6">
              <w:rPr>
                <w:rFonts w:cstheme="minorHAnsi"/>
                <w:sz w:val="24"/>
                <w:szCs w:val="24"/>
              </w:rPr>
              <w:t xml:space="preserve">o registro e </w:t>
            </w:r>
            <w:r>
              <w:rPr>
                <w:rFonts w:cstheme="minorHAnsi"/>
                <w:sz w:val="24"/>
                <w:szCs w:val="24"/>
              </w:rPr>
              <w:t>à</w:t>
            </w:r>
            <w:r w:rsidRPr="00BD15D6">
              <w:rPr>
                <w:rFonts w:cstheme="minorHAnsi"/>
                <w:sz w:val="24"/>
                <w:szCs w:val="24"/>
              </w:rPr>
              <w:t xml:space="preserve"> divulgação dos itens a serem licitados? (art. 4º e 5º, I, do decreto 7.892/13)</w:t>
            </w:r>
          </w:p>
        </w:tc>
        <w:tc>
          <w:tcPr>
            <w:tcW w:w="1275" w:type="dxa"/>
          </w:tcPr>
          <w:p w14:paraId="7C7479C6" w14:textId="77777777" w:rsidR="005C3026" w:rsidRPr="00BD15D6" w:rsidRDefault="005C3026" w:rsidP="00FE36B1">
            <w:pPr>
              <w:autoSpaceDE w:val="0"/>
              <w:autoSpaceDN w:val="0"/>
              <w:adjustRightInd w:val="0"/>
              <w:jc w:val="both"/>
              <w:rPr>
                <w:rFonts w:cstheme="minorHAnsi"/>
                <w:sz w:val="24"/>
                <w:szCs w:val="24"/>
              </w:rPr>
            </w:pPr>
          </w:p>
        </w:tc>
      </w:tr>
      <w:tr w:rsidR="005C3026" w:rsidRPr="00BD15D6" w14:paraId="09F6D156" w14:textId="5E14A703" w:rsidTr="005C3026">
        <w:tc>
          <w:tcPr>
            <w:tcW w:w="8359" w:type="dxa"/>
          </w:tcPr>
          <w:p w14:paraId="34325515" w14:textId="7AD5834A" w:rsidR="005C3026" w:rsidRPr="00BD15D6" w:rsidRDefault="005C3026" w:rsidP="00764D89">
            <w:pPr>
              <w:autoSpaceDE w:val="0"/>
              <w:autoSpaceDN w:val="0"/>
              <w:adjustRightInd w:val="0"/>
              <w:jc w:val="both"/>
              <w:rPr>
                <w:rFonts w:cstheme="minorHAnsi"/>
                <w:sz w:val="24"/>
                <w:szCs w:val="24"/>
              </w:rPr>
            </w:pPr>
            <w:r w:rsidRPr="00BD15D6">
              <w:rPr>
                <w:rFonts w:cstheme="minorHAnsi"/>
                <w:sz w:val="24"/>
                <w:szCs w:val="24"/>
              </w:rPr>
              <w:lastRenderedPageBreak/>
              <w:t>2</w:t>
            </w:r>
            <w:r w:rsidR="00D31351">
              <w:rPr>
                <w:rFonts w:cstheme="minorHAnsi"/>
                <w:sz w:val="24"/>
                <w:szCs w:val="24"/>
              </w:rPr>
              <w:t>0</w:t>
            </w:r>
            <w:r w:rsidRPr="00BD15D6">
              <w:rPr>
                <w:rFonts w:cstheme="minorHAnsi"/>
                <w:sz w:val="24"/>
                <w:szCs w:val="24"/>
              </w:rPr>
              <w:t xml:space="preserve">.1. </w:t>
            </w:r>
            <w:bookmarkStart w:id="0" w:name="_Hlk4256808"/>
            <w:r w:rsidRPr="00BD15D6">
              <w:rPr>
                <w:rFonts w:cstheme="minorHAnsi"/>
                <w:sz w:val="24"/>
                <w:szCs w:val="24"/>
              </w:rPr>
              <w:t>No caso de dispensa da divulgação da Intenção de Registro de Preços – IRP, há justificativa do órgão gerenciador? (art. 4º, §1º, do Decreto 7.892/13)</w:t>
            </w:r>
            <w:bookmarkEnd w:id="0"/>
          </w:p>
        </w:tc>
        <w:tc>
          <w:tcPr>
            <w:tcW w:w="1275" w:type="dxa"/>
          </w:tcPr>
          <w:p w14:paraId="48E2BE1E" w14:textId="77777777" w:rsidR="005C3026" w:rsidRPr="00BD15D6" w:rsidRDefault="005C3026" w:rsidP="00FE36B1">
            <w:pPr>
              <w:autoSpaceDE w:val="0"/>
              <w:autoSpaceDN w:val="0"/>
              <w:adjustRightInd w:val="0"/>
              <w:jc w:val="both"/>
              <w:rPr>
                <w:rFonts w:cstheme="minorHAnsi"/>
                <w:sz w:val="24"/>
                <w:szCs w:val="24"/>
              </w:rPr>
            </w:pPr>
          </w:p>
        </w:tc>
      </w:tr>
      <w:tr w:rsidR="005C3026" w:rsidRPr="00BD15D6" w14:paraId="5E72E6BB" w14:textId="77777777" w:rsidTr="005C3026">
        <w:tc>
          <w:tcPr>
            <w:tcW w:w="8359" w:type="dxa"/>
          </w:tcPr>
          <w:p w14:paraId="5D0E8BCD" w14:textId="541A1065" w:rsidR="005C3026" w:rsidRPr="00BD15D6" w:rsidRDefault="005C3026" w:rsidP="00880B25">
            <w:pPr>
              <w:autoSpaceDE w:val="0"/>
              <w:autoSpaceDN w:val="0"/>
              <w:adjustRightInd w:val="0"/>
              <w:jc w:val="both"/>
              <w:rPr>
                <w:rFonts w:cstheme="minorHAnsi"/>
                <w:sz w:val="24"/>
                <w:szCs w:val="24"/>
              </w:rPr>
            </w:pPr>
            <w:r w:rsidRPr="00BD15D6">
              <w:rPr>
                <w:rFonts w:cstheme="minorHAnsi"/>
                <w:sz w:val="24"/>
                <w:szCs w:val="24"/>
              </w:rPr>
              <w:t>2</w:t>
            </w:r>
            <w:r w:rsidR="00D31351">
              <w:rPr>
                <w:rFonts w:cstheme="minorHAnsi"/>
                <w:sz w:val="24"/>
                <w:szCs w:val="24"/>
              </w:rPr>
              <w:t>0</w:t>
            </w:r>
            <w:r w:rsidRPr="00BD15D6">
              <w:rPr>
                <w:rFonts w:cstheme="minorHAnsi"/>
                <w:sz w:val="24"/>
                <w:szCs w:val="24"/>
              </w:rPr>
              <w:t xml:space="preserve">.2. </w:t>
            </w:r>
            <w:r>
              <w:rPr>
                <w:rFonts w:cstheme="minorHAnsi"/>
                <w:sz w:val="24"/>
                <w:szCs w:val="24"/>
              </w:rPr>
              <w:t>Foram</w:t>
            </w:r>
            <w:r w:rsidRPr="00BD15D6">
              <w:rPr>
                <w:rFonts w:cstheme="minorHAnsi"/>
                <w:sz w:val="24"/>
                <w:szCs w:val="24"/>
              </w:rPr>
              <w:t xml:space="preserve"> adotadas </w:t>
            </w:r>
            <w:r>
              <w:rPr>
                <w:rFonts w:cstheme="minorHAnsi"/>
                <w:sz w:val="24"/>
                <w:szCs w:val="24"/>
              </w:rPr>
              <w:t xml:space="preserve">pelo órgão gerenciador </w:t>
            </w:r>
            <w:r w:rsidRPr="00BD15D6">
              <w:rPr>
                <w:rFonts w:cstheme="minorHAnsi"/>
                <w:sz w:val="24"/>
                <w:szCs w:val="24"/>
              </w:rPr>
              <w:t>as medidas do §3º do art. 4º do Decreto 7.892/2013?</w:t>
            </w:r>
          </w:p>
        </w:tc>
        <w:tc>
          <w:tcPr>
            <w:tcW w:w="1275" w:type="dxa"/>
          </w:tcPr>
          <w:p w14:paraId="12160E8B" w14:textId="77777777" w:rsidR="005C3026" w:rsidRPr="00BD15D6" w:rsidRDefault="005C3026" w:rsidP="00FE36B1">
            <w:pPr>
              <w:autoSpaceDE w:val="0"/>
              <w:autoSpaceDN w:val="0"/>
              <w:adjustRightInd w:val="0"/>
              <w:jc w:val="both"/>
              <w:rPr>
                <w:rFonts w:cstheme="minorHAnsi"/>
                <w:sz w:val="24"/>
                <w:szCs w:val="24"/>
              </w:rPr>
            </w:pPr>
          </w:p>
        </w:tc>
      </w:tr>
      <w:tr w:rsidR="005C3026" w:rsidRPr="00C83F8C" w14:paraId="3A5BD52E" w14:textId="23332492" w:rsidTr="005C3026">
        <w:tc>
          <w:tcPr>
            <w:tcW w:w="8359" w:type="dxa"/>
          </w:tcPr>
          <w:p w14:paraId="5CC98763" w14:textId="528448DF" w:rsidR="005C3026" w:rsidRPr="00BD15D6" w:rsidRDefault="005C3026" w:rsidP="00880B25">
            <w:pPr>
              <w:autoSpaceDE w:val="0"/>
              <w:autoSpaceDN w:val="0"/>
              <w:adjustRightInd w:val="0"/>
              <w:jc w:val="both"/>
              <w:rPr>
                <w:rFonts w:cstheme="minorHAnsi"/>
                <w:sz w:val="24"/>
                <w:szCs w:val="24"/>
                <w:lang w:val="en-US"/>
              </w:rPr>
            </w:pPr>
            <w:r>
              <w:rPr>
                <w:rFonts w:cstheme="minorHAnsi"/>
                <w:sz w:val="24"/>
                <w:szCs w:val="24"/>
              </w:rPr>
              <w:t>2</w:t>
            </w:r>
            <w:r w:rsidR="00D31351">
              <w:rPr>
                <w:rFonts w:cstheme="minorHAnsi"/>
                <w:sz w:val="24"/>
                <w:szCs w:val="24"/>
              </w:rPr>
              <w:t>1</w:t>
            </w:r>
            <w:r w:rsidRPr="00BD15D6">
              <w:rPr>
                <w:rFonts w:cstheme="minorHAnsi"/>
                <w:sz w:val="24"/>
                <w:szCs w:val="24"/>
              </w:rPr>
              <w:t>. No caso de existir</w:t>
            </w:r>
            <w:r>
              <w:rPr>
                <w:rFonts w:cstheme="minorHAnsi"/>
                <w:sz w:val="24"/>
                <w:szCs w:val="24"/>
              </w:rPr>
              <w:t>em</w:t>
            </w:r>
            <w:r w:rsidRPr="00BD15D6">
              <w:rPr>
                <w:rFonts w:cstheme="minorHAnsi"/>
                <w:sz w:val="24"/>
                <w:szCs w:val="24"/>
              </w:rPr>
              <w:t xml:space="preserve"> órgãos ou entidades participantes, </w:t>
            </w:r>
            <w:r>
              <w:rPr>
                <w:rFonts w:cstheme="minorHAnsi"/>
                <w:sz w:val="24"/>
                <w:szCs w:val="24"/>
              </w:rPr>
              <w:t>o órgão gerenciador</w:t>
            </w:r>
            <w:r w:rsidRPr="00BD15D6">
              <w:rPr>
                <w:rFonts w:cstheme="minorHAnsi"/>
                <w:sz w:val="24"/>
                <w:szCs w:val="24"/>
              </w:rPr>
              <w:t xml:space="preserve"> consolidou as informações relativas à estimativa individual e total de consumo? </w:t>
            </w:r>
            <w:r w:rsidRPr="00BD15D6">
              <w:rPr>
                <w:rFonts w:cstheme="minorHAnsi"/>
                <w:sz w:val="24"/>
                <w:szCs w:val="24"/>
                <w:lang w:val="en-US"/>
              </w:rPr>
              <w:t xml:space="preserve">(art. 5º, II, do </w:t>
            </w:r>
            <w:proofErr w:type="spellStart"/>
            <w:r w:rsidRPr="00BD15D6">
              <w:rPr>
                <w:rFonts w:cstheme="minorHAnsi"/>
                <w:sz w:val="24"/>
                <w:szCs w:val="24"/>
                <w:lang w:val="en-US"/>
              </w:rPr>
              <w:t>Decreto</w:t>
            </w:r>
            <w:proofErr w:type="spellEnd"/>
            <w:r w:rsidRPr="00BD15D6">
              <w:rPr>
                <w:rFonts w:cstheme="minorHAnsi"/>
                <w:sz w:val="24"/>
                <w:szCs w:val="24"/>
                <w:lang w:val="en-US"/>
              </w:rPr>
              <w:t xml:space="preserve"> 7.892/13)</w:t>
            </w:r>
          </w:p>
        </w:tc>
        <w:tc>
          <w:tcPr>
            <w:tcW w:w="1275" w:type="dxa"/>
          </w:tcPr>
          <w:p w14:paraId="677F970F" w14:textId="77777777" w:rsidR="005C3026" w:rsidRPr="00BD15D6" w:rsidRDefault="005C3026" w:rsidP="00FE36B1">
            <w:pPr>
              <w:autoSpaceDE w:val="0"/>
              <w:autoSpaceDN w:val="0"/>
              <w:adjustRightInd w:val="0"/>
              <w:jc w:val="both"/>
              <w:rPr>
                <w:rFonts w:cstheme="minorHAnsi"/>
                <w:sz w:val="24"/>
                <w:szCs w:val="24"/>
                <w:lang w:val="en-US"/>
              </w:rPr>
            </w:pPr>
          </w:p>
        </w:tc>
      </w:tr>
      <w:tr w:rsidR="005C3026" w:rsidRPr="00BD15D6" w14:paraId="478BCAAC" w14:textId="77777777" w:rsidTr="005C3026">
        <w:tc>
          <w:tcPr>
            <w:tcW w:w="8359" w:type="dxa"/>
          </w:tcPr>
          <w:p w14:paraId="2B9AEC4B" w14:textId="032183FE" w:rsidR="005C3026" w:rsidRPr="00BD15D6" w:rsidRDefault="005C3026" w:rsidP="00852ABE">
            <w:pPr>
              <w:autoSpaceDE w:val="0"/>
              <w:autoSpaceDN w:val="0"/>
              <w:adjustRightInd w:val="0"/>
              <w:jc w:val="both"/>
              <w:rPr>
                <w:rFonts w:cstheme="minorHAnsi"/>
                <w:sz w:val="24"/>
                <w:szCs w:val="24"/>
              </w:rPr>
            </w:pPr>
            <w:r>
              <w:rPr>
                <w:rFonts w:cstheme="minorHAnsi"/>
                <w:sz w:val="24"/>
                <w:szCs w:val="24"/>
              </w:rPr>
              <w:t>2</w:t>
            </w:r>
            <w:r w:rsidR="00D31351">
              <w:rPr>
                <w:rFonts w:cstheme="minorHAnsi"/>
                <w:sz w:val="24"/>
                <w:szCs w:val="24"/>
              </w:rPr>
              <w:t>2</w:t>
            </w:r>
            <w:r w:rsidRPr="00BD15D6">
              <w:rPr>
                <w:rFonts w:cstheme="minorHAnsi"/>
                <w:sz w:val="24"/>
                <w:szCs w:val="24"/>
              </w:rPr>
              <w:t>. Foram consolidados os dados das pesquisas de mercado realizadas pelos órgãos e entidades participantes, inclusive nas hipóteses previstas nos §§ 2º e 3º do art. 6º do Decreto 7.892/13? (art. 5º, IV, do Decreto 7.892/13)</w:t>
            </w:r>
          </w:p>
        </w:tc>
        <w:tc>
          <w:tcPr>
            <w:tcW w:w="1275" w:type="dxa"/>
          </w:tcPr>
          <w:p w14:paraId="7167C871" w14:textId="77777777" w:rsidR="005C3026" w:rsidRPr="00BD15D6" w:rsidRDefault="005C3026" w:rsidP="00FE36B1">
            <w:pPr>
              <w:autoSpaceDE w:val="0"/>
              <w:autoSpaceDN w:val="0"/>
              <w:adjustRightInd w:val="0"/>
              <w:jc w:val="both"/>
              <w:rPr>
                <w:rFonts w:cstheme="minorHAnsi"/>
                <w:sz w:val="24"/>
                <w:szCs w:val="24"/>
              </w:rPr>
            </w:pPr>
          </w:p>
        </w:tc>
      </w:tr>
      <w:tr w:rsidR="005C3026" w:rsidRPr="00BD15D6" w14:paraId="6747E821" w14:textId="594F8287" w:rsidTr="005C3026">
        <w:tc>
          <w:tcPr>
            <w:tcW w:w="8359" w:type="dxa"/>
          </w:tcPr>
          <w:p w14:paraId="700E14FC" w14:textId="76E0BA6B" w:rsidR="005C3026" w:rsidRPr="00BD15D6" w:rsidRDefault="005C3026" w:rsidP="00880B25">
            <w:pPr>
              <w:jc w:val="both"/>
              <w:rPr>
                <w:rFonts w:cstheme="minorHAnsi"/>
                <w:sz w:val="24"/>
                <w:szCs w:val="24"/>
              </w:rPr>
            </w:pPr>
            <w:r>
              <w:rPr>
                <w:rFonts w:cstheme="minorHAnsi"/>
                <w:sz w:val="24"/>
                <w:szCs w:val="24"/>
              </w:rPr>
              <w:t>2</w:t>
            </w:r>
            <w:r w:rsidR="00D31351">
              <w:rPr>
                <w:rFonts w:cstheme="minorHAnsi"/>
                <w:sz w:val="24"/>
                <w:szCs w:val="24"/>
              </w:rPr>
              <w:t>3</w:t>
            </w:r>
            <w:r>
              <w:rPr>
                <w:rFonts w:cstheme="minorHAnsi"/>
                <w:sz w:val="24"/>
                <w:szCs w:val="24"/>
              </w:rPr>
              <w:t xml:space="preserve">. O órgão gerenciador </w:t>
            </w:r>
            <w:r w:rsidRPr="00BD15D6">
              <w:rPr>
                <w:rFonts w:cstheme="minorHAnsi"/>
                <w:sz w:val="24"/>
                <w:szCs w:val="24"/>
              </w:rPr>
              <w:t>confirmou junto aos órgãos ou entidades participantes a sua concordância com o objeto a ser licitado, inclusive quanto aos quantitativos</w:t>
            </w:r>
            <w:r w:rsidR="00483C58">
              <w:rPr>
                <w:rFonts w:cstheme="minorHAnsi"/>
                <w:sz w:val="24"/>
                <w:szCs w:val="24"/>
              </w:rPr>
              <w:t xml:space="preserve"> </w:t>
            </w:r>
            <w:r w:rsidRPr="00BD15D6">
              <w:rPr>
                <w:rFonts w:cstheme="minorHAnsi"/>
                <w:sz w:val="24"/>
                <w:szCs w:val="24"/>
              </w:rPr>
              <w:t>e termo de referência? (art. 5º, V, do Decreto 7.892/13)</w:t>
            </w:r>
          </w:p>
        </w:tc>
        <w:tc>
          <w:tcPr>
            <w:tcW w:w="1275" w:type="dxa"/>
          </w:tcPr>
          <w:p w14:paraId="51986B81" w14:textId="1BD118CB" w:rsidR="005C3026" w:rsidRPr="00BD15D6" w:rsidRDefault="005C3026" w:rsidP="00FE36B1">
            <w:pPr>
              <w:jc w:val="both"/>
              <w:rPr>
                <w:rFonts w:cstheme="minorHAnsi"/>
                <w:sz w:val="24"/>
                <w:szCs w:val="24"/>
              </w:rPr>
            </w:pPr>
          </w:p>
        </w:tc>
      </w:tr>
      <w:tr w:rsidR="005C3026" w:rsidRPr="00BD15D6" w14:paraId="5B4BB4A2" w14:textId="33D654A1" w:rsidTr="005C3026">
        <w:tc>
          <w:tcPr>
            <w:tcW w:w="8359" w:type="dxa"/>
          </w:tcPr>
          <w:p w14:paraId="4CA11912" w14:textId="4A70D12B" w:rsidR="005C3026" w:rsidRPr="00BD15D6" w:rsidRDefault="005C3026" w:rsidP="00880B25">
            <w:pPr>
              <w:autoSpaceDE w:val="0"/>
              <w:autoSpaceDN w:val="0"/>
              <w:adjustRightInd w:val="0"/>
              <w:jc w:val="both"/>
              <w:rPr>
                <w:rFonts w:cstheme="minorHAnsi"/>
                <w:sz w:val="24"/>
                <w:szCs w:val="24"/>
              </w:rPr>
            </w:pPr>
            <w:r>
              <w:rPr>
                <w:rFonts w:cstheme="minorHAnsi"/>
                <w:sz w:val="24"/>
                <w:szCs w:val="24"/>
              </w:rPr>
              <w:t>2</w:t>
            </w:r>
            <w:r w:rsidR="00D31351">
              <w:rPr>
                <w:rFonts w:cstheme="minorHAnsi"/>
                <w:sz w:val="24"/>
                <w:szCs w:val="24"/>
              </w:rPr>
              <w:t>4</w:t>
            </w:r>
            <w:r>
              <w:rPr>
                <w:rFonts w:cstheme="minorHAnsi"/>
                <w:sz w:val="24"/>
                <w:szCs w:val="24"/>
              </w:rPr>
              <w:t>. Foi</w:t>
            </w:r>
            <w:r w:rsidRPr="00106759">
              <w:rPr>
                <w:rFonts w:cstheme="minorHAnsi"/>
                <w:sz w:val="24"/>
                <w:szCs w:val="24"/>
              </w:rPr>
              <w:t xml:space="preserve"> utilizad</w:t>
            </w:r>
            <w:r>
              <w:rPr>
                <w:rFonts w:cstheme="minorHAnsi"/>
                <w:sz w:val="24"/>
                <w:szCs w:val="24"/>
              </w:rPr>
              <w:t>o</w:t>
            </w:r>
            <w:r w:rsidRPr="00106759">
              <w:rPr>
                <w:rFonts w:cstheme="minorHAnsi"/>
                <w:sz w:val="24"/>
                <w:szCs w:val="24"/>
              </w:rPr>
              <w:t xml:space="preserve"> o</w:t>
            </w:r>
            <w:r>
              <w:rPr>
                <w:rFonts w:cstheme="minorHAnsi"/>
                <w:sz w:val="24"/>
                <w:szCs w:val="24"/>
              </w:rPr>
              <w:t xml:space="preserve"> </w:t>
            </w:r>
            <w:r w:rsidRPr="00106759">
              <w:rPr>
                <w:rFonts w:cstheme="minorHAnsi"/>
                <w:sz w:val="24"/>
                <w:szCs w:val="24"/>
              </w:rPr>
              <w:t xml:space="preserve">modelo padronizado de </w:t>
            </w:r>
            <w:r>
              <w:rPr>
                <w:rFonts w:cstheme="minorHAnsi"/>
                <w:sz w:val="24"/>
                <w:szCs w:val="24"/>
              </w:rPr>
              <w:t>ata de registro de preços</w:t>
            </w:r>
            <w:r w:rsidRPr="00106759">
              <w:rPr>
                <w:rFonts w:cstheme="minorHAnsi"/>
                <w:sz w:val="24"/>
                <w:szCs w:val="24"/>
              </w:rPr>
              <w:t xml:space="preserve"> da Advocacia-Geral União? </w:t>
            </w:r>
            <w:r>
              <w:rPr>
                <w:rFonts w:cstheme="minorHAnsi"/>
                <w:sz w:val="24"/>
                <w:szCs w:val="24"/>
              </w:rPr>
              <w:t>(Enunciado nº 6 do Manual de Boas Práticas Consultivas).</w:t>
            </w:r>
            <w:r w:rsidRPr="00106759">
              <w:rPr>
                <w:rFonts w:cstheme="minorHAnsi"/>
                <w:strike/>
                <w:sz w:val="24"/>
                <w:szCs w:val="24"/>
              </w:rPr>
              <w:t xml:space="preserve"> </w:t>
            </w:r>
            <w:r>
              <w:rPr>
                <w:rFonts w:cstheme="minorHAnsi"/>
                <w:sz w:val="24"/>
                <w:szCs w:val="24"/>
              </w:rPr>
              <w:t xml:space="preserve"> </w:t>
            </w:r>
          </w:p>
        </w:tc>
        <w:tc>
          <w:tcPr>
            <w:tcW w:w="1275" w:type="dxa"/>
          </w:tcPr>
          <w:p w14:paraId="2915670A" w14:textId="77777777" w:rsidR="005C3026" w:rsidRPr="00BD15D6" w:rsidRDefault="005C3026" w:rsidP="00880B25">
            <w:pPr>
              <w:autoSpaceDE w:val="0"/>
              <w:autoSpaceDN w:val="0"/>
              <w:adjustRightInd w:val="0"/>
              <w:jc w:val="both"/>
              <w:rPr>
                <w:rFonts w:cstheme="minorHAnsi"/>
                <w:sz w:val="24"/>
                <w:szCs w:val="24"/>
              </w:rPr>
            </w:pPr>
          </w:p>
        </w:tc>
      </w:tr>
      <w:tr w:rsidR="005C3026" w:rsidRPr="00BD15D6" w14:paraId="09C3C322" w14:textId="77777777" w:rsidTr="005C3026">
        <w:tc>
          <w:tcPr>
            <w:tcW w:w="8359" w:type="dxa"/>
          </w:tcPr>
          <w:p w14:paraId="64D43153" w14:textId="7A2C7826" w:rsidR="005C3026" w:rsidRDefault="005C3026" w:rsidP="00880B25">
            <w:pPr>
              <w:autoSpaceDE w:val="0"/>
              <w:autoSpaceDN w:val="0"/>
              <w:adjustRightInd w:val="0"/>
              <w:jc w:val="both"/>
              <w:rPr>
                <w:rFonts w:cstheme="minorHAnsi"/>
                <w:sz w:val="24"/>
                <w:szCs w:val="24"/>
              </w:rPr>
            </w:pPr>
            <w:r>
              <w:rPr>
                <w:rFonts w:cstheme="minorHAnsi"/>
                <w:sz w:val="24"/>
                <w:szCs w:val="24"/>
              </w:rPr>
              <w:t>2</w:t>
            </w:r>
            <w:r w:rsidR="00D31351">
              <w:rPr>
                <w:rFonts w:cstheme="minorHAnsi"/>
                <w:sz w:val="24"/>
                <w:szCs w:val="24"/>
              </w:rPr>
              <w:t>4</w:t>
            </w:r>
            <w:r w:rsidRPr="00106759">
              <w:rPr>
                <w:rFonts w:cstheme="minorHAnsi"/>
                <w:sz w:val="24"/>
                <w:szCs w:val="24"/>
              </w:rPr>
              <w:t xml:space="preserve">.1. Eventuais alterações no modelo ou </w:t>
            </w:r>
            <w:r>
              <w:rPr>
                <w:rFonts w:cstheme="minorHAnsi"/>
                <w:sz w:val="24"/>
                <w:szCs w:val="24"/>
              </w:rPr>
              <w:t>su</w:t>
            </w:r>
            <w:r w:rsidRPr="00106759">
              <w:rPr>
                <w:rFonts w:cstheme="minorHAnsi"/>
                <w:sz w:val="24"/>
                <w:szCs w:val="24"/>
              </w:rPr>
              <w:t xml:space="preserve">a não utilização foram devidamente justificadas no processo? </w:t>
            </w:r>
          </w:p>
        </w:tc>
        <w:tc>
          <w:tcPr>
            <w:tcW w:w="1275" w:type="dxa"/>
          </w:tcPr>
          <w:p w14:paraId="3B753078" w14:textId="77777777" w:rsidR="005C3026" w:rsidRPr="00BD15D6" w:rsidRDefault="005C3026" w:rsidP="00880B25">
            <w:pPr>
              <w:autoSpaceDE w:val="0"/>
              <w:autoSpaceDN w:val="0"/>
              <w:adjustRightInd w:val="0"/>
              <w:jc w:val="both"/>
              <w:rPr>
                <w:rFonts w:cstheme="minorHAnsi"/>
                <w:sz w:val="24"/>
                <w:szCs w:val="24"/>
              </w:rPr>
            </w:pPr>
          </w:p>
        </w:tc>
      </w:tr>
      <w:tr w:rsidR="005C3026" w:rsidRPr="00BD15D6" w14:paraId="0C2CC64E" w14:textId="77777777" w:rsidTr="005C3026">
        <w:tc>
          <w:tcPr>
            <w:tcW w:w="8359" w:type="dxa"/>
          </w:tcPr>
          <w:p w14:paraId="0273F41D" w14:textId="7EDA7682" w:rsidR="005C3026" w:rsidRDefault="005C3026" w:rsidP="00880B25">
            <w:pPr>
              <w:autoSpaceDE w:val="0"/>
              <w:autoSpaceDN w:val="0"/>
              <w:adjustRightInd w:val="0"/>
              <w:jc w:val="both"/>
              <w:rPr>
                <w:rFonts w:cstheme="minorHAnsi"/>
                <w:sz w:val="24"/>
                <w:szCs w:val="24"/>
              </w:rPr>
            </w:pPr>
            <w:r>
              <w:rPr>
                <w:rFonts w:cstheme="minorHAnsi"/>
                <w:sz w:val="24"/>
                <w:szCs w:val="24"/>
              </w:rPr>
              <w:t>2</w:t>
            </w:r>
            <w:r w:rsidR="00D31351">
              <w:rPr>
                <w:rFonts w:cstheme="minorHAnsi"/>
                <w:sz w:val="24"/>
                <w:szCs w:val="24"/>
              </w:rPr>
              <w:t>5</w:t>
            </w:r>
            <w:r>
              <w:rPr>
                <w:rFonts w:cstheme="minorHAnsi"/>
                <w:sz w:val="24"/>
                <w:szCs w:val="24"/>
              </w:rPr>
              <w:t>. O Edital permite a adesão a não participantes? (Art. 22 do Decreto nº 7.892/13)</w:t>
            </w:r>
          </w:p>
        </w:tc>
        <w:tc>
          <w:tcPr>
            <w:tcW w:w="1275" w:type="dxa"/>
          </w:tcPr>
          <w:p w14:paraId="3568A034" w14:textId="77777777" w:rsidR="005C3026" w:rsidRPr="00BD15D6" w:rsidRDefault="005C3026" w:rsidP="00880B25">
            <w:pPr>
              <w:autoSpaceDE w:val="0"/>
              <w:autoSpaceDN w:val="0"/>
              <w:adjustRightInd w:val="0"/>
              <w:jc w:val="both"/>
              <w:rPr>
                <w:rFonts w:cstheme="minorHAnsi"/>
                <w:sz w:val="24"/>
                <w:szCs w:val="24"/>
              </w:rPr>
            </w:pPr>
          </w:p>
        </w:tc>
      </w:tr>
      <w:tr w:rsidR="005C3026" w:rsidRPr="00FE36B1" w14:paraId="5B6A2CEF" w14:textId="10E76312" w:rsidTr="005C3026">
        <w:tc>
          <w:tcPr>
            <w:tcW w:w="8359" w:type="dxa"/>
          </w:tcPr>
          <w:p w14:paraId="025D96AD" w14:textId="36DEAB1E" w:rsidR="005C3026" w:rsidRPr="00BD15D6" w:rsidRDefault="005C3026" w:rsidP="00232D54">
            <w:pPr>
              <w:autoSpaceDE w:val="0"/>
              <w:autoSpaceDN w:val="0"/>
              <w:adjustRightInd w:val="0"/>
              <w:jc w:val="both"/>
              <w:rPr>
                <w:rFonts w:cstheme="minorHAnsi"/>
                <w:sz w:val="24"/>
                <w:szCs w:val="24"/>
              </w:rPr>
            </w:pPr>
            <w:r>
              <w:rPr>
                <w:rFonts w:cstheme="minorHAnsi"/>
                <w:sz w:val="24"/>
                <w:szCs w:val="24"/>
              </w:rPr>
              <w:t>2</w:t>
            </w:r>
            <w:r w:rsidR="00D31351">
              <w:rPr>
                <w:rFonts w:cstheme="minorHAnsi"/>
                <w:sz w:val="24"/>
                <w:szCs w:val="24"/>
              </w:rPr>
              <w:t>5</w:t>
            </w:r>
            <w:r w:rsidRPr="00BD15D6">
              <w:rPr>
                <w:rFonts w:cstheme="minorHAnsi"/>
                <w:sz w:val="24"/>
                <w:szCs w:val="24"/>
              </w:rPr>
              <w:t>.</w:t>
            </w:r>
            <w:r>
              <w:rPr>
                <w:rFonts w:cstheme="minorHAnsi"/>
                <w:sz w:val="24"/>
                <w:szCs w:val="24"/>
              </w:rPr>
              <w:t xml:space="preserve">1 </w:t>
            </w:r>
            <w:r w:rsidRPr="00BD15D6">
              <w:rPr>
                <w:rFonts w:cstheme="minorHAnsi"/>
                <w:sz w:val="24"/>
                <w:szCs w:val="24"/>
              </w:rPr>
              <w:t>Houve justificativa para a permissão de futura adesão de interessados</w:t>
            </w:r>
            <w:r>
              <w:rPr>
                <w:rFonts w:cstheme="minorHAnsi"/>
                <w:sz w:val="24"/>
                <w:szCs w:val="24"/>
              </w:rPr>
              <w:t xml:space="preserve"> não-participantes</w:t>
            </w:r>
            <w:r w:rsidRPr="00BD15D6">
              <w:rPr>
                <w:rFonts w:cstheme="minorHAnsi"/>
                <w:sz w:val="24"/>
                <w:szCs w:val="24"/>
              </w:rPr>
              <w:t>?</w:t>
            </w:r>
            <w:r>
              <w:rPr>
                <w:rFonts w:cstheme="minorHAnsi"/>
                <w:sz w:val="24"/>
                <w:szCs w:val="24"/>
              </w:rPr>
              <w:t xml:space="preserve"> (Acórdão nº 757/2015 – Plenário do TCU)</w:t>
            </w:r>
          </w:p>
        </w:tc>
        <w:tc>
          <w:tcPr>
            <w:tcW w:w="1275" w:type="dxa"/>
          </w:tcPr>
          <w:p w14:paraId="7547EB73" w14:textId="77777777" w:rsidR="005C3026" w:rsidRPr="00BD15D6" w:rsidRDefault="005C3026" w:rsidP="00FE36B1">
            <w:pPr>
              <w:autoSpaceDE w:val="0"/>
              <w:autoSpaceDN w:val="0"/>
              <w:adjustRightInd w:val="0"/>
              <w:jc w:val="both"/>
              <w:rPr>
                <w:rFonts w:cstheme="minorHAnsi"/>
                <w:sz w:val="24"/>
                <w:szCs w:val="24"/>
              </w:rPr>
            </w:pPr>
          </w:p>
        </w:tc>
      </w:tr>
      <w:tr w:rsidR="005C3026" w:rsidRPr="00FE36B1" w14:paraId="3E170944" w14:textId="77777777" w:rsidTr="005C3026">
        <w:tc>
          <w:tcPr>
            <w:tcW w:w="8359" w:type="dxa"/>
          </w:tcPr>
          <w:p w14:paraId="7FE665D6" w14:textId="0FD613A4" w:rsidR="005C3026" w:rsidRPr="00BD15D6" w:rsidRDefault="005C3026" w:rsidP="00E666D0">
            <w:pPr>
              <w:autoSpaceDE w:val="0"/>
              <w:autoSpaceDN w:val="0"/>
              <w:adjustRightInd w:val="0"/>
              <w:jc w:val="both"/>
              <w:rPr>
                <w:rFonts w:cstheme="minorHAnsi"/>
                <w:sz w:val="24"/>
                <w:szCs w:val="24"/>
              </w:rPr>
            </w:pPr>
            <w:r>
              <w:rPr>
                <w:rFonts w:cstheme="minorHAnsi"/>
                <w:sz w:val="24"/>
                <w:szCs w:val="24"/>
              </w:rPr>
              <w:t>2</w:t>
            </w:r>
            <w:r w:rsidR="00D31351">
              <w:rPr>
                <w:rFonts w:cstheme="minorHAnsi"/>
                <w:sz w:val="24"/>
                <w:szCs w:val="24"/>
              </w:rPr>
              <w:t>5</w:t>
            </w:r>
            <w:r>
              <w:rPr>
                <w:rFonts w:cstheme="minorHAnsi"/>
                <w:sz w:val="24"/>
                <w:szCs w:val="24"/>
              </w:rPr>
              <w:t>.2 Havendo possibilidade de adesão, há previsão de quantitativos para máximos por adesão e totais, nos termos do art. 22, §§ 3º, 4º e 4º-A do Decreto nº 7.892/13.</w:t>
            </w:r>
          </w:p>
        </w:tc>
        <w:tc>
          <w:tcPr>
            <w:tcW w:w="1275" w:type="dxa"/>
          </w:tcPr>
          <w:p w14:paraId="44DDB23C" w14:textId="77777777" w:rsidR="005C3026" w:rsidRPr="00BD15D6" w:rsidRDefault="005C3026" w:rsidP="00FE36B1">
            <w:pPr>
              <w:autoSpaceDE w:val="0"/>
              <w:autoSpaceDN w:val="0"/>
              <w:adjustRightInd w:val="0"/>
              <w:jc w:val="both"/>
              <w:rPr>
                <w:rFonts w:cstheme="minorHAnsi"/>
                <w:sz w:val="24"/>
                <w:szCs w:val="24"/>
              </w:rPr>
            </w:pPr>
          </w:p>
        </w:tc>
      </w:tr>
      <w:tr w:rsidR="005C3026" w:rsidRPr="00FE36B1" w14:paraId="3CD6612D" w14:textId="77777777" w:rsidTr="005C3026">
        <w:tc>
          <w:tcPr>
            <w:tcW w:w="8359" w:type="dxa"/>
          </w:tcPr>
          <w:p w14:paraId="25C1ADFA" w14:textId="183614D0" w:rsidR="005C3026" w:rsidRDefault="005C3026" w:rsidP="00E666D0">
            <w:pPr>
              <w:autoSpaceDE w:val="0"/>
              <w:autoSpaceDN w:val="0"/>
              <w:adjustRightInd w:val="0"/>
              <w:jc w:val="both"/>
              <w:rPr>
                <w:rFonts w:cstheme="minorHAnsi"/>
                <w:sz w:val="24"/>
                <w:szCs w:val="24"/>
              </w:rPr>
            </w:pPr>
            <w:r>
              <w:rPr>
                <w:rFonts w:cstheme="minorHAnsi"/>
                <w:sz w:val="24"/>
                <w:szCs w:val="24"/>
              </w:rPr>
              <w:t>2</w:t>
            </w:r>
            <w:r w:rsidR="007D463B">
              <w:rPr>
                <w:rFonts w:cstheme="minorHAnsi"/>
                <w:sz w:val="24"/>
                <w:szCs w:val="24"/>
              </w:rPr>
              <w:t>6</w:t>
            </w:r>
            <w:r w:rsidRPr="00C83DD1">
              <w:rPr>
                <w:rFonts w:cstheme="minorHAnsi"/>
                <w:sz w:val="24"/>
                <w:szCs w:val="24"/>
              </w:rPr>
              <w:t>. A licitação adota o critério de adjudicação por item?</w:t>
            </w:r>
          </w:p>
        </w:tc>
        <w:tc>
          <w:tcPr>
            <w:tcW w:w="1275" w:type="dxa"/>
          </w:tcPr>
          <w:p w14:paraId="123C2731" w14:textId="77777777" w:rsidR="005C3026" w:rsidRPr="00BD15D6" w:rsidRDefault="005C3026" w:rsidP="00FE36B1">
            <w:pPr>
              <w:autoSpaceDE w:val="0"/>
              <w:autoSpaceDN w:val="0"/>
              <w:adjustRightInd w:val="0"/>
              <w:jc w:val="both"/>
              <w:rPr>
                <w:rFonts w:cstheme="minorHAnsi"/>
                <w:sz w:val="24"/>
                <w:szCs w:val="24"/>
              </w:rPr>
            </w:pPr>
          </w:p>
        </w:tc>
      </w:tr>
      <w:tr w:rsidR="005C3026" w:rsidRPr="00FE36B1" w14:paraId="5FE50158" w14:textId="77777777" w:rsidTr="005C3026">
        <w:tc>
          <w:tcPr>
            <w:tcW w:w="8359" w:type="dxa"/>
          </w:tcPr>
          <w:p w14:paraId="242A34F8" w14:textId="5C48BAA7" w:rsidR="005C3026" w:rsidRPr="00C83DD1" w:rsidRDefault="005C3026" w:rsidP="00C83DD1">
            <w:pPr>
              <w:autoSpaceDE w:val="0"/>
              <w:autoSpaceDN w:val="0"/>
              <w:adjustRightInd w:val="0"/>
              <w:jc w:val="both"/>
              <w:rPr>
                <w:rFonts w:cstheme="minorHAnsi"/>
                <w:sz w:val="24"/>
                <w:szCs w:val="24"/>
              </w:rPr>
            </w:pPr>
            <w:r>
              <w:rPr>
                <w:rFonts w:cstheme="minorHAnsi"/>
                <w:sz w:val="24"/>
                <w:szCs w:val="24"/>
              </w:rPr>
              <w:t>2</w:t>
            </w:r>
            <w:r w:rsidR="007D463B">
              <w:rPr>
                <w:rFonts w:cstheme="minorHAnsi"/>
                <w:sz w:val="24"/>
                <w:szCs w:val="24"/>
              </w:rPr>
              <w:t>6</w:t>
            </w:r>
            <w:r w:rsidRPr="00C83DD1">
              <w:rPr>
                <w:rFonts w:cstheme="minorHAnsi"/>
                <w:sz w:val="24"/>
                <w:szCs w:val="24"/>
              </w:rPr>
              <w:t xml:space="preserve">.1 Caso utilizado critério de adjudicação por preço global de grupo de itens, foi apresentada justificativa? </w:t>
            </w:r>
          </w:p>
          <w:p w14:paraId="40496509" w14:textId="77777777" w:rsidR="005C3026" w:rsidRDefault="005C3026" w:rsidP="00C83DD1">
            <w:pPr>
              <w:autoSpaceDE w:val="0"/>
              <w:autoSpaceDN w:val="0"/>
              <w:adjustRightInd w:val="0"/>
              <w:jc w:val="both"/>
              <w:rPr>
                <w:rFonts w:cstheme="minorHAnsi"/>
                <w:color w:val="FF0000"/>
                <w:sz w:val="24"/>
                <w:szCs w:val="24"/>
              </w:rPr>
            </w:pPr>
            <w:r w:rsidRPr="00C83DD1">
              <w:rPr>
                <w:rFonts w:cstheme="minorHAnsi"/>
                <w:color w:val="FF0000"/>
                <w:sz w:val="24"/>
                <w:szCs w:val="24"/>
              </w:rPr>
              <w:t xml:space="preserve">Atentar para a recomendação do TCU, emanada no acórdão 2037/2019-Plenário, nos </w:t>
            </w:r>
            <w:proofErr w:type="gramStart"/>
            <w:r w:rsidRPr="00C83DD1">
              <w:rPr>
                <w:rFonts w:cstheme="minorHAnsi"/>
                <w:color w:val="FF0000"/>
                <w:sz w:val="24"/>
                <w:szCs w:val="24"/>
              </w:rPr>
              <w:t>seguinte termos</w:t>
            </w:r>
            <w:proofErr w:type="gramEnd"/>
            <w:r w:rsidRPr="00C83DD1">
              <w:rPr>
                <w:rFonts w:cstheme="minorHAnsi"/>
                <w:color w:val="FF0000"/>
                <w:sz w:val="24"/>
                <w:szCs w:val="24"/>
              </w:rPr>
              <w:t xml:space="preserve">: </w:t>
            </w:r>
          </w:p>
          <w:p w14:paraId="0C568D5F" w14:textId="77777777" w:rsidR="005C3026" w:rsidRDefault="005C3026" w:rsidP="00C83DD1">
            <w:pPr>
              <w:autoSpaceDE w:val="0"/>
              <w:autoSpaceDN w:val="0"/>
              <w:adjustRightInd w:val="0"/>
              <w:jc w:val="both"/>
              <w:rPr>
                <w:rFonts w:cstheme="minorHAnsi"/>
                <w:color w:val="FF0000"/>
                <w:sz w:val="24"/>
                <w:szCs w:val="24"/>
              </w:rPr>
            </w:pPr>
            <w:r w:rsidRPr="00C83DD1">
              <w:rPr>
                <w:rFonts w:cstheme="minorHAnsi"/>
                <w:color w:val="FF0000"/>
                <w:sz w:val="24"/>
                <w:szCs w:val="24"/>
              </w:rPr>
              <w:t xml:space="preserve">9.6. determinar à </w:t>
            </w:r>
            <w:proofErr w:type="spellStart"/>
            <w:r w:rsidRPr="00C83DD1">
              <w:rPr>
                <w:rFonts w:cstheme="minorHAnsi"/>
                <w:color w:val="FF0000"/>
                <w:sz w:val="24"/>
                <w:szCs w:val="24"/>
              </w:rPr>
              <w:t>Secretaria-Geral</w:t>
            </w:r>
            <w:proofErr w:type="spellEnd"/>
            <w:r w:rsidRPr="00C83DD1">
              <w:rPr>
                <w:rFonts w:cstheme="minorHAnsi"/>
                <w:color w:val="FF0000"/>
                <w:sz w:val="24"/>
                <w:szCs w:val="24"/>
              </w:rPr>
              <w:t xml:space="preserve"> de Controle Externo desta Corte que, em reforço ao constante do item 9.3 do Acórdão 757/2015-Plenário, oriente suas unidades sobre a necessidade de sempre avaliar os seguintes aspectos em processos envolvendo pregões para registro de preços: […] </w:t>
            </w:r>
          </w:p>
          <w:p w14:paraId="10C0D323" w14:textId="6F7A2CF5" w:rsidR="005C3026" w:rsidRDefault="005C3026" w:rsidP="00C83DD1">
            <w:pPr>
              <w:autoSpaceDE w:val="0"/>
              <w:autoSpaceDN w:val="0"/>
              <w:adjustRightInd w:val="0"/>
              <w:jc w:val="both"/>
              <w:rPr>
                <w:rFonts w:cstheme="minorHAnsi"/>
                <w:sz w:val="24"/>
                <w:szCs w:val="24"/>
              </w:rPr>
            </w:pPr>
            <w:r w:rsidRPr="00C83DD1">
              <w:rPr>
                <w:rFonts w:cstheme="minorHAnsi"/>
                <w:color w:val="FF0000"/>
                <w:sz w:val="24"/>
                <w:szCs w:val="24"/>
              </w:rPr>
              <w:t xml:space="preserve">9.6.3. obrigatoriedade da adjudicação por item como regra geral, tendo em vista o objetivo de propiciar a ampla participação de licitantes e a seleção das propostas mais vantajosas, sendo a adjudicação por preço global medida excepcional que precisa ser devidamente justificada, além de incompatível com a aquisição futura por itens - </w:t>
            </w:r>
            <w:proofErr w:type="spellStart"/>
            <w:r w:rsidRPr="00C83DD1">
              <w:rPr>
                <w:rFonts w:cstheme="minorHAnsi"/>
                <w:color w:val="FF0000"/>
                <w:sz w:val="24"/>
                <w:szCs w:val="24"/>
              </w:rPr>
              <w:t>arts</w:t>
            </w:r>
            <w:proofErr w:type="spellEnd"/>
            <w:r w:rsidRPr="00C83DD1">
              <w:rPr>
                <w:rFonts w:cstheme="minorHAnsi"/>
                <w:color w:val="FF0000"/>
                <w:sz w:val="24"/>
                <w:szCs w:val="24"/>
              </w:rPr>
              <w:t>. 3º, § 1º, inciso I, 15, inciso IV, e 23, §§ 1º e 2º, da Lei 8.666/1993, e Acórdãos 529, 1.592, 1.913, 2.695 e 2.796/2013, todos do Plenário.</w:t>
            </w:r>
          </w:p>
        </w:tc>
        <w:tc>
          <w:tcPr>
            <w:tcW w:w="1275" w:type="dxa"/>
          </w:tcPr>
          <w:p w14:paraId="50709931" w14:textId="77777777" w:rsidR="005C3026" w:rsidRPr="00BD15D6" w:rsidRDefault="005C3026" w:rsidP="00FE36B1">
            <w:pPr>
              <w:autoSpaceDE w:val="0"/>
              <w:autoSpaceDN w:val="0"/>
              <w:adjustRightInd w:val="0"/>
              <w:jc w:val="both"/>
              <w:rPr>
                <w:rFonts w:cstheme="minorHAnsi"/>
                <w:sz w:val="24"/>
                <w:szCs w:val="24"/>
              </w:rPr>
            </w:pPr>
          </w:p>
        </w:tc>
      </w:tr>
    </w:tbl>
    <w:p w14:paraId="6B1DDA49" w14:textId="1A76F6A1" w:rsidR="00410AF8" w:rsidRDefault="00410AF8">
      <w:pPr>
        <w:rPr>
          <w:rFonts w:cstheme="minorHAnsi"/>
          <w:sz w:val="24"/>
          <w:szCs w:val="24"/>
          <w:highlight w:val="yellow"/>
        </w:rPr>
      </w:pPr>
    </w:p>
    <w:tbl>
      <w:tblPr>
        <w:tblStyle w:val="Tabelacomgrade"/>
        <w:tblW w:w="9634" w:type="dxa"/>
        <w:tblLayout w:type="fixed"/>
        <w:tblLook w:val="04A0" w:firstRow="1" w:lastRow="0" w:firstColumn="1" w:lastColumn="0" w:noHBand="0" w:noVBand="1"/>
      </w:tblPr>
      <w:tblGrid>
        <w:gridCol w:w="8359"/>
        <w:gridCol w:w="1275"/>
      </w:tblGrid>
      <w:tr w:rsidR="00965177" w:rsidRPr="007D463B" w14:paraId="6F16A221" w14:textId="77777777" w:rsidTr="007208E7">
        <w:tc>
          <w:tcPr>
            <w:tcW w:w="8359" w:type="dxa"/>
          </w:tcPr>
          <w:p w14:paraId="27F62D3C" w14:textId="77777777" w:rsidR="00965177" w:rsidRPr="00A421C4" w:rsidRDefault="00965177" w:rsidP="007208E7">
            <w:pPr>
              <w:autoSpaceDE w:val="0"/>
              <w:autoSpaceDN w:val="0"/>
              <w:adjustRightInd w:val="0"/>
              <w:jc w:val="center"/>
              <w:rPr>
                <w:rFonts w:cstheme="minorHAnsi"/>
                <w:bCs/>
                <w:sz w:val="24"/>
                <w:szCs w:val="24"/>
              </w:rPr>
            </w:pPr>
          </w:p>
          <w:p w14:paraId="2A321AD5" w14:textId="77777777" w:rsidR="00965177" w:rsidRPr="007D463B" w:rsidRDefault="00965177" w:rsidP="007208E7">
            <w:pPr>
              <w:autoSpaceDE w:val="0"/>
              <w:autoSpaceDN w:val="0"/>
              <w:adjustRightInd w:val="0"/>
              <w:jc w:val="center"/>
              <w:rPr>
                <w:rFonts w:cstheme="minorHAnsi"/>
                <w:b/>
                <w:sz w:val="24"/>
                <w:szCs w:val="24"/>
                <w:u w:val="single"/>
              </w:rPr>
            </w:pPr>
            <w:r w:rsidRPr="007D463B">
              <w:rPr>
                <w:rFonts w:cstheme="minorHAnsi"/>
                <w:b/>
                <w:sz w:val="24"/>
                <w:szCs w:val="24"/>
              </w:rPr>
              <w:t xml:space="preserve">VERIFICAÇÃO </w:t>
            </w:r>
            <w:r w:rsidRPr="007D463B">
              <w:rPr>
                <w:rFonts w:cstheme="minorHAnsi"/>
                <w:b/>
                <w:sz w:val="24"/>
                <w:szCs w:val="24"/>
                <w:u w:val="single"/>
              </w:rPr>
              <w:t>ESPECÍFICA PARA DISPENSA DE LICITAÇÃO</w:t>
            </w:r>
          </w:p>
          <w:p w14:paraId="5F3C3485" w14:textId="77777777" w:rsidR="00965177" w:rsidRPr="007D463B" w:rsidRDefault="00965177" w:rsidP="007208E7">
            <w:pPr>
              <w:autoSpaceDE w:val="0"/>
              <w:autoSpaceDN w:val="0"/>
              <w:adjustRightInd w:val="0"/>
              <w:jc w:val="center"/>
              <w:rPr>
                <w:rFonts w:cstheme="minorHAnsi"/>
                <w:bCs/>
                <w:sz w:val="24"/>
                <w:szCs w:val="24"/>
                <w:u w:val="single"/>
              </w:rPr>
            </w:pPr>
          </w:p>
          <w:p w14:paraId="23B7B5AC" w14:textId="5802E97D" w:rsidR="00965177" w:rsidRPr="007D463B" w:rsidRDefault="00965177" w:rsidP="007208E7">
            <w:pPr>
              <w:autoSpaceDE w:val="0"/>
              <w:autoSpaceDN w:val="0"/>
              <w:adjustRightInd w:val="0"/>
              <w:jc w:val="both"/>
              <w:rPr>
                <w:rFonts w:cstheme="minorHAnsi"/>
                <w:bCs/>
                <w:sz w:val="24"/>
                <w:szCs w:val="24"/>
              </w:rPr>
            </w:pPr>
            <w:r w:rsidRPr="007D463B">
              <w:rPr>
                <w:rFonts w:cstheme="minorHAnsi"/>
                <w:bCs/>
                <w:color w:val="FF0000"/>
                <w:sz w:val="24"/>
                <w:szCs w:val="24"/>
              </w:rPr>
              <w:t xml:space="preserve">OBS: Nos termos da Orientação Normativa AGU nº 46, de 26/02/2014, a manifestação jurídica nas contratações diretas pelo pequeno valor (fundadas no art. 24, I e II da Lei nº 8.666/93) é dispensável quando inexistir dúvida jurídica e forem usadas minutas padronizadas (como as minutas da AGU). </w:t>
            </w:r>
          </w:p>
        </w:tc>
        <w:tc>
          <w:tcPr>
            <w:tcW w:w="1275" w:type="dxa"/>
          </w:tcPr>
          <w:p w14:paraId="59C15BC7" w14:textId="77777777" w:rsidR="00965177" w:rsidRPr="007D463B" w:rsidRDefault="00965177" w:rsidP="007208E7">
            <w:pPr>
              <w:autoSpaceDE w:val="0"/>
              <w:autoSpaceDN w:val="0"/>
              <w:adjustRightInd w:val="0"/>
              <w:jc w:val="both"/>
              <w:rPr>
                <w:rFonts w:cstheme="minorHAnsi"/>
                <w:szCs w:val="24"/>
              </w:rPr>
            </w:pPr>
            <w:r w:rsidRPr="007D463B">
              <w:rPr>
                <w:rFonts w:cstheme="minorHAnsi"/>
                <w:szCs w:val="24"/>
              </w:rPr>
              <w:t>ESTADO</w:t>
            </w:r>
          </w:p>
          <w:p w14:paraId="69EAC864" w14:textId="77777777" w:rsidR="00965177" w:rsidRPr="007D463B" w:rsidRDefault="00965177" w:rsidP="007208E7">
            <w:pPr>
              <w:autoSpaceDE w:val="0"/>
              <w:autoSpaceDN w:val="0"/>
              <w:adjustRightInd w:val="0"/>
              <w:jc w:val="both"/>
              <w:rPr>
                <w:rFonts w:cstheme="minorHAnsi"/>
                <w:b/>
                <w:szCs w:val="24"/>
              </w:rPr>
            </w:pPr>
            <w:r w:rsidRPr="007D463B">
              <w:rPr>
                <w:rFonts w:cstheme="minorHAnsi"/>
                <w:szCs w:val="24"/>
              </w:rPr>
              <w:t>S / N / N.A.</w:t>
            </w:r>
          </w:p>
        </w:tc>
      </w:tr>
      <w:tr w:rsidR="00965177" w:rsidRPr="007D463B" w14:paraId="2E688CD6" w14:textId="77777777" w:rsidTr="007208E7">
        <w:tc>
          <w:tcPr>
            <w:tcW w:w="8359" w:type="dxa"/>
          </w:tcPr>
          <w:p w14:paraId="5256CB37" w14:textId="03F6323F" w:rsidR="00965177" w:rsidRPr="007D463B" w:rsidRDefault="00965177" w:rsidP="007208E7">
            <w:pPr>
              <w:autoSpaceDE w:val="0"/>
              <w:autoSpaceDN w:val="0"/>
              <w:adjustRightInd w:val="0"/>
              <w:jc w:val="both"/>
              <w:rPr>
                <w:rFonts w:cstheme="minorHAnsi"/>
                <w:sz w:val="24"/>
                <w:szCs w:val="24"/>
              </w:rPr>
            </w:pPr>
            <w:r w:rsidRPr="007D463B">
              <w:rPr>
                <w:rFonts w:cstheme="minorHAnsi"/>
                <w:sz w:val="24"/>
                <w:szCs w:val="24"/>
              </w:rPr>
              <w:lastRenderedPageBreak/>
              <w:t>2</w:t>
            </w:r>
            <w:r w:rsidR="007D463B" w:rsidRPr="007D463B">
              <w:rPr>
                <w:rFonts w:cstheme="minorHAnsi"/>
                <w:sz w:val="24"/>
                <w:szCs w:val="24"/>
              </w:rPr>
              <w:t>7</w:t>
            </w:r>
            <w:r w:rsidRPr="007D463B">
              <w:rPr>
                <w:rFonts w:cstheme="minorHAnsi"/>
                <w:sz w:val="24"/>
                <w:szCs w:val="24"/>
              </w:rPr>
              <w:t>. Houve justificativa do enquadramento ou não do objeto dentro das hipóteses do art. 24 da Lei nº 8.666/93 ou de legislação específica pertinente, com indicação expressa do fundamento legal utilizado?</w:t>
            </w:r>
          </w:p>
          <w:p w14:paraId="44BC6B82" w14:textId="3CD8FC79" w:rsidR="00965177" w:rsidRPr="007D463B" w:rsidRDefault="00965177" w:rsidP="007208E7">
            <w:pPr>
              <w:autoSpaceDE w:val="0"/>
              <w:autoSpaceDN w:val="0"/>
              <w:adjustRightInd w:val="0"/>
              <w:jc w:val="both"/>
              <w:rPr>
                <w:rFonts w:cstheme="minorHAnsi"/>
                <w:color w:val="FF0000"/>
                <w:sz w:val="24"/>
                <w:szCs w:val="24"/>
              </w:rPr>
            </w:pPr>
            <w:r w:rsidRPr="007D463B">
              <w:rPr>
                <w:rFonts w:cstheme="minorHAnsi"/>
                <w:color w:val="FF0000"/>
                <w:sz w:val="24"/>
                <w:szCs w:val="24"/>
              </w:rPr>
              <w:t xml:space="preserve">OBS </w:t>
            </w:r>
            <w:r w:rsidR="00027705">
              <w:rPr>
                <w:rFonts w:cstheme="minorHAnsi"/>
                <w:color w:val="FF0000"/>
                <w:sz w:val="24"/>
                <w:szCs w:val="24"/>
              </w:rPr>
              <w:t>1</w:t>
            </w:r>
            <w:r w:rsidRPr="007D463B">
              <w:rPr>
                <w:rFonts w:cstheme="minorHAnsi"/>
                <w:color w:val="FF0000"/>
                <w:sz w:val="24"/>
                <w:szCs w:val="24"/>
              </w:rPr>
              <w:t xml:space="preserve">: Orientação Normativa AGU n. 12, de 01/04/2009: Não se dispensa licitação, com fundamento nos </w:t>
            </w:r>
            <w:proofErr w:type="spellStart"/>
            <w:r w:rsidRPr="007D463B">
              <w:rPr>
                <w:rFonts w:cstheme="minorHAnsi"/>
                <w:color w:val="FF0000"/>
                <w:sz w:val="24"/>
                <w:szCs w:val="24"/>
              </w:rPr>
              <w:t>incs</w:t>
            </w:r>
            <w:proofErr w:type="spellEnd"/>
            <w:r w:rsidRPr="007D463B">
              <w:rPr>
                <w:rFonts w:cstheme="minorHAnsi"/>
                <w:color w:val="FF0000"/>
                <w:sz w:val="24"/>
                <w:szCs w:val="24"/>
              </w:rPr>
              <w:t>. V e VII do art. 24 da lei nº 8.666, de 1993, caso   a   licitação   fracassada   ou   deserta   tenha   sido   realizada   na modalidade convite.</w:t>
            </w:r>
          </w:p>
          <w:p w14:paraId="0B7541B5" w14:textId="0CB0B36C" w:rsidR="00965177" w:rsidRPr="007D463B" w:rsidRDefault="00965177" w:rsidP="007208E7">
            <w:pPr>
              <w:autoSpaceDE w:val="0"/>
              <w:autoSpaceDN w:val="0"/>
              <w:adjustRightInd w:val="0"/>
              <w:jc w:val="both"/>
              <w:rPr>
                <w:rFonts w:cstheme="minorHAnsi"/>
                <w:color w:val="FF0000"/>
                <w:sz w:val="24"/>
                <w:szCs w:val="24"/>
              </w:rPr>
            </w:pPr>
            <w:r w:rsidRPr="007D463B">
              <w:rPr>
                <w:rFonts w:cstheme="minorHAnsi"/>
                <w:color w:val="FF0000"/>
                <w:sz w:val="24"/>
                <w:szCs w:val="24"/>
              </w:rPr>
              <w:t xml:space="preserve">OBS </w:t>
            </w:r>
            <w:r w:rsidR="00027705">
              <w:rPr>
                <w:rFonts w:cstheme="minorHAnsi"/>
                <w:color w:val="FF0000"/>
                <w:sz w:val="24"/>
                <w:szCs w:val="24"/>
              </w:rPr>
              <w:t>2</w:t>
            </w:r>
            <w:r w:rsidRPr="007D463B">
              <w:rPr>
                <w:rFonts w:cstheme="minorHAnsi"/>
                <w:color w:val="FF0000"/>
                <w:sz w:val="24"/>
                <w:szCs w:val="24"/>
              </w:rPr>
              <w:t>: Orientação Normativa n. 13, de 01/04/2009: empresa pública ou sociedade de economia mista que exerça atividade econômica não se enquadra como órgão ou entidade que integra a administração pública, para os fins de dispensa de licitação com fundamento no inc. VIII do art. 24 da lei nº 8.666, de 1993.</w:t>
            </w:r>
          </w:p>
          <w:p w14:paraId="2C666A50" w14:textId="38F59BAF" w:rsidR="00965177" w:rsidRPr="007D463B" w:rsidRDefault="00965177" w:rsidP="007208E7">
            <w:pPr>
              <w:autoSpaceDE w:val="0"/>
              <w:autoSpaceDN w:val="0"/>
              <w:adjustRightInd w:val="0"/>
              <w:jc w:val="both"/>
              <w:rPr>
                <w:rFonts w:cstheme="minorHAnsi"/>
                <w:color w:val="FF0000"/>
                <w:sz w:val="24"/>
                <w:szCs w:val="24"/>
              </w:rPr>
            </w:pPr>
            <w:r w:rsidRPr="007D463B">
              <w:rPr>
                <w:rFonts w:cstheme="minorHAnsi"/>
                <w:color w:val="FF0000"/>
                <w:sz w:val="24"/>
                <w:szCs w:val="24"/>
              </w:rPr>
              <w:t xml:space="preserve">OBS </w:t>
            </w:r>
            <w:r w:rsidR="00027705">
              <w:rPr>
                <w:rFonts w:cstheme="minorHAnsi"/>
                <w:color w:val="FF0000"/>
                <w:sz w:val="24"/>
                <w:szCs w:val="24"/>
              </w:rPr>
              <w:t>3</w:t>
            </w:r>
            <w:r w:rsidRPr="007D463B">
              <w:rPr>
                <w:rFonts w:cstheme="minorHAnsi"/>
                <w:color w:val="FF0000"/>
                <w:sz w:val="24"/>
                <w:szCs w:val="24"/>
              </w:rPr>
              <w:t xml:space="preserve">: Orientação Normativa n. 14, de 01/04/2009: </w:t>
            </w:r>
            <w:proofErr w:type="gramStart"/>
            <w:r w:rsidRPr="007D463B">
              <w:rPr>
                <w:rFonts w:cstheme="minorHAnsi"/>
                <w:color w:val="FF0000"/>
                <w:sz w:val="24"/>
                <w:szCs w:val="24"/>
              </w:rPr>
              <w:t>Os  contratos</w:t>
            </w:r>
            <w:proofErr w:type="gramEnd"/>
            <w:r w:rsidRPr="007D463B">
              <w:rPr>
                <w:rFonts w:cstheme="minorHAnsi"/>
                <w:color w:val="FF0000"/>
                <w:sz w:val="24"/>
                <w:szCs w:val="24"/>
              </w:rPr>
              <w:t xml:space="preserve">  firmados  com  as  fundações  de  apoio  com  base  na  dispensa  de licitação  prevista  no  inc.  </w:t>
            </w:r>
            <w:proofErr w:type="gramStart"/>
            <w:r w:rsidRPr="007D463B">
              <w:rPr>
                <w:rFonts w:cstheme="minorHAnsi"/>
                <w:color w:val="FF0000"/>
                <w:sz w:val="24"/>
                <w:szCs w:val="24"/>
              </w:rPr>
              <w:t>XIII  do</w:t>
            </w:r>
            <w:proofErr w:type="gramEnd"/>
            <w:r w:rsidRPr="007D463B">
              <w:rPr>
                <w:rFonts w:cstheme="minorHAnsi"/>
                <w:color w:val="FF0000"/>
                <w:sz w:val="24"/>
                <w:szCs w:val="24"/>
              </w:rPr>
              <w:t xml:space="preserve">  art.  </w:t>
            </w:r>
            <w:proofErr w:type="gramStart"/>
            <w:r w:rsidRPr="007D463B">
              <w:rPr>
                <w:rFonts w:cstheme="minorHAnsi"/>
                <w:color w:val="FF0000"/>
                <w:sz w:val="24"/>
                <w:szCs w:val="24"/>
              </w:rPr>
              <w:t>24  da</w:t>
            </w:r>
            <w:proofErr w:type="gramEnd"/>
            <w:r w:rsidRPr="007D463B">
              <w:rPr>
                <w:rFonts w:cstheme="minorHAnsi"/>
                <w:color w:val="FF0000"/>
                <w:sz w:val="24"/>
                <w:szCs w:val="24"/>
              </w:rPr>
              <w:t xml:space="preserve">  lei  nº  8.666,  de  1993,  devem  estar diretamente  vinculados  a  projetos  com  definição  clara  do  objeto  e  com  prazo determinado,   sendo   vedadas   a   subcontratação;   a   contratação   de   serviços contínuos ou de manutenção; e a contratação de serviços destinados a atender as necessidades permanentes da instituição.</w:t>
            </w:r>
          </w:p>
        </w:tc>
        <w:tc>
          <w:tcPr>
            <w:tcW w:w="1275" w:type="dxa"/>
          </w:tcPr>
          <w:p w14:paraId="70094352" w14:textId="77777777" w:rsidR="00965177" w:rsidRPr="007D463B" w:rsidRDefault="00965177" w:rsidP="007208E7">
            <w:pPr>
              <w:autoSpaceDE w:val="0"/>
              <w:autoSpaceDN w:val="0"/>
              <w:adjustRightInd w:val="0"/>
              <w:jc w:val="both"/>
              <w:rPr>
                <w:rFonts w:cstheme="minorHAnsi"/>
                <w:sz w:val="24"/>
                <w:szCs w:val="24"/>
              </w:rPr>
            </w:pPr>
          </w:p>
        </w:tc>
      </w:tr>
      <w:tr w:rsidR="00965177" w:rsidRPr="007D463B" w14:paraId="7AB55DF2" w14:textId="77777777" w:rsidTr="007208E7">
        <w:tc>
          <w:tcPr>
            <w:tcW w:w="8359" w:type="dxa"/>
          </w:tcPr>
          <w:p w14:paraId="7BEFC4E1" w14:textId="596A891D" w:rsidR="00965177" w:rsidRPr="007D463B" w:rsidRDefault="00965177" w:rsidP="007208E7">
            <w:pPr>
              <w:autoSpaceDE w:val="0"/>
              <w:autoSpaceDN w:val="0"/>
              <w:adjustRightInd w:val="0"/>
              <w:jc w:val="both"/>
              <w:rPr>
                <w:rFonts w:cstheme="minorHAnsi"/>
                <w:sz w:val="24"/>
                <w:szCs w:val="24"/>
              </w:rPr>
            </w:pPr>
            <w:r w:rsidRPr="007D463B">
              <w:rPr>
                <w:rFonts w:cstheme="minorHAnsi"/>
                <w:sz w:val="24"/>
                <w:szCs w:val="24"/>
              </w:rPr>
              <w:t>2</w:t>
            </w:r>
            <w:r w:rsidR="007D463B">
              <w:rPr>
                <w:rFonts w:cstheme="minorHAnsi"/>
                <w:sz w:val="24"/>
                <w:szCs w:val="24"/>
              </w:rPr>
              <w:t>7</w:t>
            </w:r>
            <w:r w:rsidRPr="007D463B">
              <w:rPr>
                <w:rFonts w:cstheme="minorHAnsi"/>
                <w:sz w:val="24"/>
                <w:szCs w:val="24"/>
              </w:rPr>
              <w:t xml:space="preserve">.1. Nas hipóteses do art. 24, incisos IV e XXXV, houve demonstração da caracterização da situação emergencial, calamitosa ou de grave e iminente risco à segurança pública que justifique a dispensa, conforme o caso, nos termos do art. 26, parágrafo único, inciso I da Lei nº 8.666/93? </w:t>
            </w:r>
          </w:p>
        </w:tc>
        <w:tc>
          <w:tcPr>
            <w:tcW w:w="1275" w:type="dxa"/>
          </w:tcPr>
          <w:p w14:paraId="3860F575" w14:textId="77777777" w:rsidR="00965177" w:rsidRPr="007D463B" w:rsidRDefault="00965177" w:rsidP="007208E7">
            <w:pPr>
              <w:autoSpaceDE w:val="0"/>
              <w:autoSpaceDN w:val="0"/>
              <w:adjustRightInd w:val="0"/>
              <w:jc w:val="both"/>
              <w:rPr>
                <w:rFonts w:cstheme="minorHAnsi"/>
                <w:sz w:val="24"/>
                <w:szCs w:val="24"/>
              </w:rPr>
            </w:pPr>
          </w:p>
        </w:tc>
      </w:tr>
      <w:tr w:rsidR="00965177" w:rsidRPr="007D463B" w14:paraId="056C1D77" w14:textId="77777777" w:rsidTr="007208E7">
        <w:tc>
          <w:tcPr>
            <w:tcW w:w="8359" w:type="dxa"/>
          </w:tcPr>
          <w:p w14:paraId="1AE201F4" w14:textId="10A7EE84" w:rsidR="00965177" w:rsidRPr="007D463B" w:rsidRDefault="00965177" w:rsidP="007208E7">
            <w:pPr>
              <w:autoSpaceDE w:val="0"/>
              <w:autoSpaceDN w:val="0"/>
              <w:adjustRightInd w:val="0"/>
              <w:jc w:val="both"/>
              <w:rPr>
                <w:rFonts w:cstheme="minorHAnsi"/>
                <w:sz w:val="24"/>
                <w:szCs w:val="24"/>
              </w:rPr>
            </w:pPr>
            <w:r w:rsidRPr="007D463B">
              <w:rPr>
                <w:rFonts w:cstheme="minorHAnsi"/>
                <w:sz w:val="24"/>
                <w:szCs w:val="24"/>
              </w:rPr>
              <w:t>2</w:t>
            </w:r>
            <w:r w:rsidR="007D463B">
              <w:rPr>
                <w:rFonts w:cstheme="minorHAnsi"/>
                <w:sz w:val="24"/>
                <w:szCs w:val="24"/>
              </w:rPr>
              <w:t>8</w:t>
            </w:r>
            <w:r w:rsidRPr="007D463B">
              <w:rPr>
                <w:rFonts w:cstheme="minorHAnsi"/>
                <w:sz w:val="24"/>
                <w:szCs w:val="24"/>
              </w:rPr>
              <w:t>. Constam dos autos as razões para escolha do executante a ser contratado?</w:t>
            </w:r>
          </w:p>
        </w:tc>
        <w:tc>
          <w:tcPr>
            <w:tcW w:w="1275" w:type="dxa"/>
          </w:tcPr>
          <w:p w14:paraId="6B71BCFD" w14:textId="77777777" w:rsidR="00965177" w:rsidRPr="007D463B" w:rsidRDefault="00965177" w:rsidP="007208E7">
            <w:pPr>
              <w:autoSpaceDE w:val="0"/>
              <w:autoSpaceDN w:val="0"/>
              <w:adjustRightInd w:val="0"/>
              <w:jc w:val="both"/>
              <w:rPr>
                <w:rFonts w:cstheme="minorHAnsi"/>
                <w:sz w:val="24"/>
                <w:szCs w:val="24"/>
              </w:rPr>
            </w:pPr>
          </w:p>
        </w:tc>
      </w:tr>
      <w:tr w:rsidR="00965177" w:rsidRPr="007D463B" w14:paraId="0F0CC83D" w14:textId="77777777" w:rsidTr="007208E7">
        <w:tc>
          <w:tcPr>
            <w:tcW w:w="8359" w:type="dxa"/>
          </w:tcPr>
          <w:p w14:paraId="1FB312E8" w14:textId="656F9021" w:rsidR="00965177" w:rsidRPr="007D463B" w:rsidRDefault="007D463B" w:rsidP="007208E7">
            <w:pPr>
              <w:autoSpaceDE w:val="0"/>
              <w:autoSpaceDN w:val="0"/>
              <w:adjustRightInd w:val="0"/>
              <w:jc w:val="both"/>
              <w:rPr>
                <w:rFonts w:cstheme="minorHAnsi"/>
                <w:sz w:val="24"/>
                <w:szCs w:val="24"/>
              </w:rPr>
            </w:pPr>
            <w:r>
              <w:rPr>
                <w:rFonts w:cstheme="minorHAnsi"/>
                <w:sz w:val="24"/>
                <w:szCs w:val="24"/>
              </w:rPr>
              <w:t>29</w:t>
            </w:r>
            <w:r w:rsidR="00965177" w:rsidRPr="007D463B">
              <w:rPr>
                <w:rFonts w:cstheme="minorHAnsi"/>
                <w:sz w:val="24"/>
                <w:szCs w:val="24"/>
              </w:rPr>
              <w:t>. Consta dos autos prova: a) de regularidade fiscal federal; b) de regularidade com a Seguridade Social; c) de regularidade com o Fundo de Garantia por Tempo de Serviço; d) de regularidade trabalhista; e) declaração de cumprimento do disposto no inciso XXXIII do art. 7o da Constituição Federal; e f) ausência de penalidade que vede a contratação com o órgão (artigo 27 e seguintes da Lei 8.666/1993)?</w:t>
            </w:r>
          </w:p>
          <w:p w14:paraId="33E91C5C" w14:textId="77777777" w:rsidR="00965177" w:rsidRPr="007D463B" w:rsidRDefault="00965177" w:rsidP="007208E7">
            <w:pPr>
              <w:autoSpaceDE w:val="0"/>
              <w:autoSpaceDN w:val="0"/>
              <w:adjustRightInd w:val="0"/>
              <w:jc w:val="both"/>
              <w:rPr>
                <w:rFonts w:cstheme="minorHAnsi"/>
                <w:color w:val="FF0000"/>
                <w:sz w:val="24"/>
                <w:szCs w:val="24"/>
              </w:rPr>
            </w:pPr>
            <w:r w:rsidRPr="007D463B">
              <w:rPr>
                <w:rFonts w:cstheme="minorHAnsi"/>
                <w:color w:val="FF0000"/>
                <w:sz w:val="24"/>
                <w:szCs w:val="24"/>
              </w:rPr>
              <w:t>OBS: A consulta deve ser feita nos seguintes endereços:</w:t>
            </w:r>
          </w:p>
          <w:p w14:paraId="10F1B33E" w14:textId="77777777" w:rsidR="00965177" w:rsidRPr="007D463B" w:rsidRDefault="00965177" w:rsidP="007208E7">
            <w:pPr>
              <w:autoSpaceDE w:val="0"/>
              <w:autoSpaceDN w:val="0"/>
              <w:adjustRightInd w:val="0"/>
              <w:jc w:val="both"/>
              <w:rPr>
                <w:rFonts w:cstheme="minorHAnsi"/>
                <w:color w:val="FF0000"/>
                <w:sz w:val="24"/>
                <w:szCs w:val="24"/>
              </w:rPr>
            </w:pPr>
            <w:r w:rsidRPr="007D463B">
              <w:rPr>
                <w:rFonts w:cstheme="minorHAnsi"/>
                <w:color w:val="FF0000"/>
                <w:sz w:val="24"/>
                <w:szCs w:val="24"/>
              </w:rPr>
              <w:t xml:space="preserve">a) SICAF;  </w:t>
            </w:r>
          </w:p>
          <w:p w14:paraId="2375FF62" w14:textId="77777777" w:rsidR="00965177" w:rsidRPr="007D463B" w:rsidRDefault="00965177" w:rsidP="007208E7">
            <w:pPr>
              <w:autoSpaceDE w:val="0"/>
              <w:autoSpaceDN w:val="0"/>
              <w:adjustRightInd w:val="0"/>
              <w:jc w:val="both"/>
              <w:rPr>
                <w:rFonts w:cstheme="minorHAnsi"/>
                <w:color w:val="FF0000"/>
                <w:sz w:val="24"/>
                <w:szCs w:val="24"/>
              </w:rPr>
            </w:pPr>
            <w:r w:rsidRPr="007D463B">
              <w:rPr>
                <w:rFonts w:cstheme="minorHAnsi"/>
                <w:color w:val="FF0000"/>
                <w:sz w:val="24"/>
                <w:szCs w:val="24"/>
              </w:rPr>
              <w:t>b) Cadastro Nacional de Empresas Inidôneas e Suspensas - CEIS, mantido pela Controladoria-Geral da União (www.portaldatransparencia.gov.br/</w:t>
            </w:r>
            <w:proofErr w:type="spellStart"/>
            <w:r w:rsidRPr="007D463B">
              <w:rPr>
                <w:rFonts w:cstheme="minorHAnsi"/>
                <w:color w:val="FF0000"/>
                <w:sz w:val="24"/>
                <w:szCs w:val="24"/>
              </w:rPr>
              <w:t>ceis</w:t>
            </w:r>
            <w:proofErr w:type="spellEnd"/>
            <w:r w:rsidRPr="007D463B">
              <w:rPr>
                <w:rFonts w:cstheme="minorHAnsi"/>
                <w:color w:val="FF0000"/>
                <w:sz w:val="24"/>
                <w:szCs w:val="24"/>
              </w:rPr>
              <w:t xml:space="preserve">);  </w:t>
            </w:r>
          </w:p>
          <w:p w14:paraId="00D30C60" w14:textId="77777777" w:rsidR="00965177" w:rsidRPr="007D463B" w:rsidRDefault="00965177" w:rsidP="007208E7">
            <w:pPr>
              <w:autoSpaceDE w:val="0"/>
              <w:autoSpaceDN w:val="0"/>
              <w:adjustRightInd w:val="0"/>
              <w:jc w:val="both"/>
              <w:rPr>
                <w:rFonts w:cstheme="minorHAnsi"/>
                <w:color w:val="FF0000"/>
                <w:sz w:val="24"/>
                <w:szCs w:val="24"/>
              </w:rPr>
            </w:pPr>
            <w:r w:rsidRPr="007D463B">
              <w:rPr>
                <w:rFonts w:cstheme="minorHAnsi"/>
                <w:color w:val="FF0000"/>
                <w:sz w:val="24"/>
                <w:szCs w:val="24"/>
              </w:rPr>
              <w:t>c) Cadastro Nacional de Condenações Cíveis por Atos de Improbidade Administrativa, mantido pelo Conselho Nacional de Justiça (</w:t>
            </w:r>
            <w:hyperlink r:id="rId11" w:history="1">
              <w:r w:rsidRPr="007D463B">
                <w:rPr>
                  <w:rStyle w:val="Hyperlink"/>
                  <w:rFonts w:cstheme="minorHAnsi"/>
                  <w:color w:val="FF0000"/>
                  <w:sz w:val="24"/>
                  <w:szCs w:val="24"/>
                </w:rPr>
                <w:t>www.cnj.jus.br/improbidade_adm/consultar_requerido.php</w:t>
              </w:r>
            </w:hyperlink>
            <w:r w:rsidRPr="007D463B">
              <w:rPr>
                <w:rFonts w:cstheme="minorHAnsi"/>
                <w:color w:val="FF0000"/>
                <w:sz w:val="24"/>
                <w:szCs w:val="24"/>
              </w:rPr>
              <w:t xml:space="preserve">).  </w:t>
            </w:r>
          </w:p>
          <w:p w14:paraId="3B8E7413" w14:textId="77777777" w:rsidR="00965177" w:rsidRPr="007D463B" w:rsidRDefault="00965177" w:rsidP="007208E7">
            <w:pPr>
              <w:autoSpaceDE w:val="0"/>
              <w:autoSpaceDN w:val="0"/>
              <w:adjustRightInd w:val="0"/>
              <w:jc w:val="both"/>
              <w:rPr>
                <w:rFonts w:cstheme="minorHAnsi"/>
                <w:color w:val="FF0000"/>
                <w:sz w:val="24"/>
                <w:szCs w:val="24"/>
              </w:rPr>
            </w:pPr>
            <w:r w:rsidRPr="007D463B">
              <w:rPr>
                <w:rFonts w:cstheme="minorHAnsi"/>
                <w:color w:val="FF0000"/>
                <w:sz w:val="24"/>
                <w:szCs w:val="24"/>
              </w:rPr>
              <w:t>d) Lista de Inidôneos, mantida pelo Tribunal de Contas da União – TCU (https://contas.tcu.gov.br/</w:t>
            </w:r>
            <w:proofErr w:type="spellStart"/>
            <w:r w:rsidRPr="007D463B">
              <w:rPr>
                <w:rFonts w:cstheme="minorHAnsi"/>
                <w:color w:val="FF0000"/>
                <w:sz w:val="24"/>
                <w:szCs w:val="24"/>
              </w:rPr>
              <w:t>ords</w:t>
            </w:r>
            <w:proofErr w:type="spellEnd"/>
            <w:r w:rsidRPr="007D463B">
              <w:rPr>
                <w:rFonts w:cstheme="minorHAnsi"/>
                <w:color w:val="FF0000"/>
                <w:sz w:val="24"/>
                <w:szCs w:val="24"/>
              </w:rPr>
              <w:t>/</w:t>
            </w:r>
            <w:proofErr w:type="spellStart"/>
            <w:r w:rsidRPr="007D463B">
              <w:rPr>
                <w:rFonts w:cstheme="minorHAnsi"/>
                <w:color w:val="FF0000"/>
                <w:sz w:val="24"/>
                <w:szCs w:val="24"/>
              </w:rPr>
              <w:t>f?p</w:t>
            </w:r>
            <w:proofErr w:type="spellEnd"/>
            <w:r w:rsidRPr="007D463B">
              <w:rPr>
                <w:rFonts w:cstheme="minorHAnsi"/>
                <w:color w:val="FF0000"/>
                <w:sz w:val="24"/>
                <w:szCs w:val="24"/>
              </w:rPr>
              <w:t xml:space="preserve">=INABILITADO:INIDONEOS); </w:t>
            </w:r>
          </w:p>
          <w:p w14:paraId="6307D564" w14:textId="77777777" w:rsidR="00965177" w:rsidRPr="007D463B" w:rsidRDefault="00965177" w:rsidP="007208E7">
            <w:pPr>
              <w:autoSpaceDE w:val="0"/>
              <w:autoSpaceDN w:val="0"/>
              <w:adjustRightInd w:val="0"/>
              <w:jc w:val="both"/>
              <w:rPr>
                <w:rFonts w:cstheme="minorHAnsi"/>
                <w:color w:val="FF0000"/>
                <w:sz w:val="24"/>
                <w:szCs w:val="24"/>
              </w:rPr>
            </w:pPr>
            <w:r w:rsidRPr="007D463B">
              <w:rPr>
                <w:rFonts w:cstheme="minorHAnsi"/>
                <w:color w:val="FF0000"/>
                <w:sz w:val="24"/>
                <w:szCs w:val="24"/>
              </w:rPr>
              <w:t>OBS 2: Para a consulta de licitantes pessoa jurídica poderá haver a substituição das consultas das alíneas “b”, “c” e “d” acima pela Consulta Consolidada de Pessoa Jurídica do TCU (</w:t>
            </w:r>
            <w:hyperlink r:id="rId12" w:history="1">
              <w:r w:rsidRPr="007D463B">
                <w:rPr>
                  <w:rStyle w:val="Hyperlink"/>
                  <w:rFonts w:cstheme="minorHAnsi"/>
                  <w:sz w:val="24"/>
                  <w:szCs w:val="24"/>
                </w:rPr>
                <w:t>https://certidoesapf.apps.tcu.gov.br/</w:t>
              </w:r>
            </w:hyperlink>
            <w:r w:rsidRPr="007D463B">
              <w:rPr>
                <w:rFonts w:cstheme="minorHAnsi"/>
                <w:color w:val="FF0000"/>
                <w:sz w:val="24"/>
                <w:szCs w:val="24"/>
              </w:rPr>
              <w:t>)</w:t>
            </w:r>
          </w:p>
        </w:tc>
        <w:tc>
          <w:tcPr>
            <w:tcW w:w="1275" w:type="dxa"/>
          </w:tcPr>
          <w:p w14:paraId="3E92567D" w14:textId="77777777" w:rsidR="00965177" w:rsidRPr="007D463B" w:rsidRDefault="00965177" w:rsidP="007208E7">
            <w:pPr>
              <w:autoSpaceDE w:val="0"/>
              <w:autoSpaceDN w:val="0"/>
              <w:adjustRightInd w:val="0"/>
              <w:jc w:val="both"/>
              <w:rPr>
                <w:rFonts w:cstheme="minorHAnsi"/>
                <w:sz w:val="24"/>
                <w:szCs w:val="24"/>
              </w:rPr>
            </w:pPr>
          </w:p>
        </w:tc>
      </w:tr>
      <w:tr w:rsidR="00965177" w:rsidRPr="007D463B" w14:paraId="4C759A72" w14:textId="77777777" w:rsidTr="007208E7">
        <w:tc>
          <w:tcPr>
            <w:tcW w:w="8359" w:type="dxa"/>
          </w:tcPr>
          <w:p w14:paraId="786A82EE" w14:textId="0A003F69" w:rsidR="00965177" w:rsidRPr="007D463B" w:rsidRDefault="00965177" w:rsidP="007208E7">
            <w:pPr>
              <w:autoSpaceDE w:val="0"/>
              <w:autoSpaceDN w:val="0"/>
              <w:adjustRightInd w:val="0"/>
              <w:jc w:val="both"/>
              <w:rPr>
                <w:rFonts w:cstheme="minorHAnsi"/>
                <w:sz w:val="24"/>
                <w:szCs w:val="24"/>
              </w:rPr>
            </w:pPr>
            <w:r w:rsidRPr="007D463B">
              <w:rPr>
                <w:rFonts w:cstheme="minorHAnsi"/>
                <w:sz w:val="24"/>
                <w:szCs w:val="24"/>
              </w:rPr>
              <w:t>3</w:t>
            </w:r>
            <w:r w:rsidR="007D463B">
              <w:rPr>
                <w:rFonts w:cstheme="minorHAnsi"/>
                <w:sz w:val="24"/>
                <w:szCs w:val="24"/>
              </w:rPr>
              <w:t>0</w:t>
            </w:r>
            <w:r w:rsidRPr="007D463B">
              <w:rPr>
                <w:rFonts w:cstheme="minorHAnsi"/>
                <w:sz w:val="24"/>
                <w:szCs w:val="24"/>
              </w:rPr>
              <w:t>. Foi juntada aos autos consulta ao CADIN? (art. 6º, III da Lei nº 10.522/02)</w:t>
            </w:r>
          </w:p>
          <w:p w14:paraId="292DDC33" w14:textId="77777777" w:rsidR="00965177" w:rsidRPr="007D463B" w:rsidRDefault="00965177" w:rsidP="007208E7">
            <w:pPr>
              <w:autoSpaceDE w:val="0"/>
              <w:autoSpaceDN w:val="0"/>
              <w:adjustRightInd w:val="0"/>
              <w:jc w:val="both"/>
              <w:rPr>
                <w:rFonts w:cstheme="minorHAnsi"/>
                <w:sz w:val="24"/>
                <w:szCs w:val="24"/>
              </w:rPr>
            </w:pPr>
            <w:r w:rsidRPr="007D463B">
              <w:rPr>
                <w:rFonts w:cstheme="minorHAnsi"/>
                <w:color w:val="FF0000"/>
                <w:sz w:val="24"/>
                <w:szCs w:val="24"/>
              </w:rPr>
              <w:t>OBS: Atente-se que o cadastro do CADIN é meramente informativo, de modo que a existência de pendências não impede a contratação.</w:t>
            </w:r>
          </w:p>
        </w:tc>
        <w:tc>
          <w:tcPr>
            <w:tcW w:w="1275" w:type="dxa"/>
          </w:tcPr>
          <w:p w14:paraId="5F654E31" w14:textId="77777777" w:rsidR="00965177" w:rsidRPr="007D463B" w:rsidRDefault="00965177" w:rsidP="007208E7">
            <w:pPr>
              <w:autoSpaceDE w:val="0"/>
              <w:autoSpaceDN w:val="0"/>
              <w:adjustRightInd w:val="0"/>
              <w:jc w:val="both"/>
              <w:rPr>
                <w:rFonts w:cstheme="minorHAnsi"/>
                <w:sz w:val="24"/>
                <w:szCs w:val="24"/>
              </w:rPr>
            </w:pPr>
          </w:p>
        </w:tc>
      </w:tr>
      <w:tr w:rsidR="00965177" w:rsidRPr="007D463B" w14:paraId="47829159" w14:textId="77777777" w:rsidTr="007208E7">
        <w:tc>
          <w:tcPr>
            <w:tcW w:w="8359" w:type="dxa"/>
          </w:tcPr>
          <w:p w14:paraId="56B2EFCA" w14:textId="37C122C3" w:rsidR="00965177" w:rsidRPr="007D463B" w:rsidRDefault="00965177" w:rsidP="007208E7">
            <w:pPr>
              <w:autoSpaceDE w:val="0"/>
              <w:autoSpaceDN w:val="0"/>
              <w:adjustRightInd w:val="0"/>
              <w:jc w:val="both"/>
              <w:rPr>
                <w:rFonts w:cstheme="minorHAnsi"/>
                <w:sz w:val="24"/>
                <w:szCs w:val="24"/>
              </w:rPr>
            </w:pPr>
            <w:r w:rsidRPr="007D463B">
              <w:rPr>
                <w:rFonts w:cstheme="minorHAnsi"/>
                <w:sz w:val="24"/>
                <w:szCs w:val="24"/>
              </w:rPr>
              <w:t>3</w:t>
            </w:r>
            <w:r w:rsidR="007D463B">
              <w:rPr>
                <w:rFonts w:cstheme="minorHAnsi"/>
                <w:sz w:val="24"/>
                <w:szCs w:val="24"/>
              </w:rPr>
              <w:t>1</w:t>
            </w:r>
            <w:r w:rsidRPr="007D463B">
              <w:rPr>
                <w:rFonts w:cstheme="minorHAnsi"/>
                <w:sz w:val="24"/>
                <w:szCs w:val="24"/>
              </w:rPr>
              <w:t>. Houve o reconhecimento da dispensa de licitação e a sua ratificação, nos termos do art. 26 da Lei nº 8.666/93, com a publicação do respectivo extrato, no prazo de 5 (cinco) dias?</w:t>
            </w:r>
          </w:p>
          <w:p w14:paraId="29A5F333" w14:textId="77777777" w:rsidR="00965177" w:rsidRPr="007D463B" w:rsidRDefault="00965177" w:rsidP="007208E7">
            <w:pPr>
              <w:autoSpaceDE w:val="0"/>
              <w:autoSpaceDN w:val="0"/>
              <w:adjustRightInd w:val="0"/>
              <w:jc w:val="both"/>
              <w:rPr>
                <w:rFonts w:cstheme="minorHAnsi"/>
                <w:color w:val="FF0000"/>
                <w:sz w:val="24"/>
                <w:szCs w:val="24"/>
              </w:rPr>
            </w:pPr>
            <w:r w:rsidRPr="007D463B">
              <w:rPr>
                <w:rFonts w:cstheme="minorHAnsi"/>
                <w:color w:val="FF0000"/>
                <w:sz w:val="24"/>
                <w:szCs w:val="24"/>
              </w:rPr>
              <w:t>OBS: Registre-se que a Orientação Normativa AGU n. 33, de 13/12/2011, dispensa a publicação do extrato contratual caso seja publicado o ato de autorização/ratificação da contratação direta.</w:t>
            </w:r>
          </w:p>
          <w:p w14:paraId="5E6FA4B2" w14:textId="737AEFCD" w:rsidR="00965177" w:rsidRPr="007D463B" w:rsidRDefault="00965177" w:rsidP="007208E7">
            <w:pPr>
              <w:autoSpaceDE w:val="0"/>
              <w:autoSpaceDN w:val="0"/>
              <w:adjustRightInd w:val="0"/>
              <w:jc w:val="both"/>
              <w:rPr>
                <w:rFonts w:cstheme="minorHAnsi"/>
                <w:color w:val="FF0000"/>
                <w:sz w:val="24"/>
                <w:szCs w:val="24"/>
              </w:rPr>
            </w:pPr>
            <w:r w:rsidRPr="007D463B">
              <w:rPr>
                <w:rFonts w:cstheme="minorHAnsi"/>
                <w:color w:val="FF0000"/>
                <w:sz w:val="24"/>
                <w:szCs w:val="24"/>
              </w:rPr>
              <w:lastRenderedPageBreak/>
              <w:t>OBS 2: Nos termos da Orientação Normativa AGU n. 34, de 13/12/2011, as contratações diretas fundadas no art. 24, I e II da Lei nº 8.666/93 dispensam inclusive a publicação do ato que autoriza/ratifica a contratação direta, sem prejuízo de outros meios de publicidade do ato.</w:t>
            </w:r>
            <w:bookmarkStart w:id="1" w:name="_GoBack"/>
            <w:bookmarkEnd w:id="1"/>
          </w:p>
        </w:tc>
        <w:tc>
          <w:tcPr>
            <w:tcW w:w="1275" w:type="dxa"/>
          </w:tcPr>
          <w:p w14:paraId="7C0E3134" w14:textId="77777777" w:rsidR="00965177" w:rsidRPr="007D463B" w:rsidRDefault="00965177" w:rsidP="007208E7">
            <w:pPr>
              <w:autoSpaceDE w:val="0"/>
              <w:autoSpaceDN w:val="0"/>
              <w:adjustRightInd w:val="0"/>
              <w:jc w:val="both"/>
              <w:rPr>
                <w:rFonts w:cstheme="minorHAnsi"/>
                <w:sz w:val="24"/>
                <w:szCs w:val="24"/>
              </w:rPr>
            </w:pPr>
          </w:p>
        </w:tc>
      </w:tr>
    </w:tbl>
    <w:p w14:paraId="60E03B1B" w14:textId="77777777" w:rsidR="00847B66" w:rsidRPr="007D463B" w:rsidRDefault="00847B66">
      <w:pPr>
        <w:rPr>
          <w:rFonts w:cstheme="minorHAnsi"/>
          <w:sz w:val="24"/>
          <w:szCs w:val="24"/>
        </w:rPr>
      </w:pPr>
    </w:p>
    <w:sectPr w:rsidR="00847B66" w:rsidRPr="007D463B" w:rsidSect="00C4102A">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5FAD5" w14:textId="77777777" w:rsidR="00B05A4A" w:rsidRDefault="00B05A4A" w:rsidP="00614319">
      <w:pPr>
        <w:spacing w:after="0" w:line="240" w:lineRule="auto"/>
      </w:pPr>
      <w:r>
        <w:separator/>
      </w:r>
    </w:p>
  </w:endnote>
  <w:endnote w:type="continuationSeparator" w:id="0">
    <w:p w14:paraId="1B335EAC" w14:textId="77777777" w:rsidR="00B05A4A" w:rsidRDefault="00B05A4A" w:rsidP="0061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C58C9" w14:textId="359586BD" w:rsidR="00614319" w:rsidRDefault="00614319" w:rsidP="00614319">
    <w:pPr>
      <w:pStyle w:val="Rodap"/>
      <w:pBdr>
        <w:bottom w:val="single" w:sz="6" w:space="1" w:color="auto"/>
      </w:pBdr>
      <w:rPr>
        <w:sz w:val="15"/>
        <w:szCs w:val="15"/>
      </w:rPr>
    </w:pPr>
  </w:p>
  <w:p w14:paraId="0791810D" w14:textId="77777777" w:rsidR="00614319" w:rsidRDefault="00614319" w:rsidP="00614319">
    <w:pPr>
      <w:pStyle w:val="Rodap"/>
      <w:rPr>
        <w:sz w:val="15"/>
        <w:szCs w:val="15"/>
      </w:rPr>
    </w:pPr>
    <w:r>
      <w:rPr>
        <w:sz w:val="15"/>
        <w:szCs w:val="15"/>
      </w:rPr>
      <w:t>Câmara Nacional de Modelos de Licitações e Contratos da Consultoria-Geral da União</w:t>
    </w:r>
  </w:p>
  <w:p w14:paraId="741075A2" w14:textId="5A38C189" w:rsidR="00614319" w:rsidRDefault="00614319" w:rsidP="00614319">
    <w:pPr>
      <w:pStyle w:val="Rodap"/>
      <w:rPr>
        <w:sz w:val="15"/>
        <w:szCs w:val="15"/>
      </w:rPr>
    </w:pPr>
    <w:r>
      <w:rPr>
        <w:sz w:val="15"/>
        <w:szCs w:val="15"/>
      </w:rPr>
      <w:t>Modelo de Lista de Verificação de Compras</w:t>
    </w:r>
  </w:p>
  <w:p w14:paraId="2D4CCD07" w14:textId="05DA6248" w:rsidR="00614319" w:rsidRDefault="00614319">
    <w:pPr>
      <w:pStyle w:val="Rodap"/>
    </w:pPr>
    <w:r>
      <w:rPr>
        <w:sz w:val="15"/>
        <w:szCs w:val="15"/>
      </w:rPr>
      <w:t xml:space="preserve">Atualização: </w:t>
    </w:r>
    <w:proofErr w:type="gramStart"/>
    <w:r w:rsidR="00027705">
      <w:rPr>
        <w:sz w:val="15"/>
        <w:szCs w:val="15"/>
      </w:rPr>
      <w:t>Dezembro</w:t>
    </w:r>
    <w:proofErr w:type="gramEnd"/>
    <w:r>
      <w:rPr>
        <w:sz w:val="15"/>
        <w:szCs w:val="15"/>
      </w:rPr>
      <w:t>/20</w:t>
    </w:r>
    <w:r w:rsidR="00965177">
      <w:rPr>
        <w:sz w:val="15"/>
        <w:szCs w:val="15"/>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99DDF" w14:textId="77777777" w:rsidR="00B05A4A" w:rsidRDefault="00B05A4A" w:rsidP="00614319">
      <w:pPr>
        <w:spacing w:after="0" w:line="240" w:lineRule="auto"/>
      </w:pPr>
      <w:r>
        <w:separator/>
      </w:r>
    </w:p>
  </w:footnote>
  <w:footnote w:type="continuationSeparator" w:id="0">
    <w:p w14:paraId="3DED6B5A" w14:textId="77777777" w:rsidR="00B05A4A" w:rsidRDefault="00B05A4A" w:rsidP="00614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7F34C4"/>
    <w:multiLevelType w:val="multilevel"/>
    <w:tmpl w:val="DFEA9E3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1BB31EA"/>
    <w:multiLevelType w:val="hybridMultilevel"/>
    <w:tmpl w:val="135862F8"/>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5C4B6F5C"/>
    <w:multiLevelType w:val="multilevel"/>
    <w:tmpl w:val="E664413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F521D4E"/>
    <w:multiLevelType w:val="hybridMultilevel"/>
    <w:tmpl w:val="921CACE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A88333F"/>
    <w:multiLevelType w:val="hybridMultilevel"/>
    <w:tmpl w:val="6EC86396"/>
    <w:lvl w:ilvl="0" w:tplc="EDB00B9C">
      <w:start w:val="2"/>
      <w:numFmt w:val="decimal"/>
      <w:pStyle w:val="LpargrafoParec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C1F"/>
    <w:rsid w:val="00000CB6"/>
    <w:rsid w:val="000136FA"/>
    <w:rsid w:val="00014D0C"/>
    <w:rsid w:val="000172BE"/>
    <w:rsid w:val="00017D7A"/>
    <w:rsid w:val="00027705"/>
    <w:rsid w:val="0003162C"/>
    <w:rsid w:val="00032C6C"/>
    <w:rsid w:val="0003709E"/>
    <w:rsid w:val="00043983"/>
    <w:rsid w:val="000464D2"/>
    <w:rsid w:val="0004772F"/>
    <w:rsid w:val="00051405"/>
    <w:rsid w:val="00063377"/>
    <w:rsid w:val="00071CA7"/>
    <w:rsid w:val="0008175C"/>
    <w:rsid w:val="00090B9E"/>
    <w:rsid w:val="000B60D6"/>
    <w:rsid w:val="000D38ED"/>
    <w:rsid w:val="000E51BD"/>
    <w:rsid w:val="000E69D6"/>
    <w:rsid w:val="000F3B3F"/>
    <w:rsid w:val="000F798C"/>
    <w:rsid w:val="001032AA"/>
    <w:rsid w:val="00106047"/>
    <w:rsid w:val="00106759"/>
    <w:rsid w:val="001077EF"/>
    <w:rsid w:val="001342E3"/>
    <w:rsid w:val="00143425"/>
    <w:rsid w:val="00153917"/>
    <w:rsid w:val="00153E03"/>
    <w:rsid w:val="00154FF5"/>
    <w:rsid w:val="0016242F"/>
    <w:rsid w:val="00163C62"/>
    <w:rsid w:val="00163F8E"/>
    <w:rsid w:val="001649F5"/>
    <w:rsid w:val="001752AF"/>
    <w:rsid w:val="00184832"/>
    <w:rsid w:val="00187AB9"/>
    <w:rsid w:val="001A23FB"/>
    <w:rsid w:val="001A4EE5"/>
    <w:rsid w:val="001A6ED6"/>
    <w:rsid w:val="001B0EE9"/>
    <w:rsid w:val="001B217B"/>
    <w:rsid w:val="001B2BF9"/>
    <w:rsid w:val="001B6770"/>
    <w:rsid w:val="001C25CF"/>
    <w:rsid w:val="001C5049"/>
    <w:rsid w:val="001D1617"/>
    <w:rsid w:val="001D2B01"/>
    <w:rsid w:val="001D7F11"/>
    <w:rsid w:val="001F2F79"/>
    <w:rsid w:val="001F597F"/>
    <w:rsid w:val="00221FA7"/>
    <w:rsid w:val="00227680"/>
    <w:rsid w:val="00230862"/>
    <w:rsid w:val="00232D54"/>
    <w:rsid w:val="00234366"/>
    <w:rsid w:val="00242B59"/>
    <w:rsid w:val="00245832"/>
    <w:rsid w:val="00246CF1"/>
    <w:rsid w:val="002509B1"/>
    <w:rsid w:val="00254516"/>
    <w:rsid w:val="00261286"/>
    <w:rsid w:val="002616B7"/>
    <w:rsid w:val="00262B2E"/>
    <w:rsid w:val="00263E45"/>
    <w:rsid w:val="00264CB0"/>
    <w:rsid w:val="00273054"/>
    <w:rsid w:val="00284E57"/>
    <w:rsid w:val="002908AD"/>
    <w:rsid w:val="00297E09"/>
    <w:rsid w:val="002A6CE2"/>
    <w:rsid w:val="002A7F41"/>
    <w:rsid w:val="002C279C"/>
    <w:rsid w:val="002C2CCC"/>
    <w:rsid w:val="002C7735"/>
    <w:rsid w:val="002D3193"/>
    <w:rsid w:val="002E635F"/>
    <w:rsid w:val="002F1D16"/>
    <w:rsid w:val="002F3D7A"/>
    <w:rsid w:val="00305139"/>
    <w:rsid w:val="00306217"/>
    <w:rsid w:val="00306408"/>
    <w:rsid w:val="00311D74"/>
    <w:rsid w:val="00323A3D"/>
    <w:rsid w:val="0033051B"/>
    <w:rsid w:val="00331105"/>
    <w:rsid w:val="003318D2"/>
    <w:rsid w:val="00336AC1"/>
    <w:rsid w:val="0033739A"/>
    <w:rsid w:val="00337924"/>
    <w:rsid w:val="00343EEE"/>
    <w:rsid w:val="00352EDF"/>
    <w:rsid w:val="00374BB3"/>
    <w:rsid w:val="00377191"/>
    <w:rsid w:val="003833D5"/>
    <w:rsid w:val="003A6A6F"/>
    <w:rsid w:val="003B262D"/>
    <w:rsid w:val="003B5DD8"/>
    <w:rsid w:val="003C7995"/>
    <w:rsid w:val="003D51B7"/>
    <w:rsid w:val="003E681E"/>
    <w:rsid w:val="003E7A02"/>
    <w:rsid w:val="003F31F7"/>
    <w:rsid w:val="003F3978"/>
    <w:rsid w:val="00407AE6"/>
    <w:rsid w:val="00410AF8"/>
    <w:rsid w:val="004116B5"/>
    <w:rsid w:val="00415272"/>
    <w:rsid w:val="0041538D"/>
    <w:rsid w:val="004164BD"/>
    <w:rsid w:val="00430279"/>
    <w:rsid w:val="00430DDF"/>
    <w:rsid w:val="00450335"/>
    <w:rsid w:val="004525E3"/>
    <w:rsid w:val="0045728F"/>
    <w:rsid w:val="00460A82"/>
    <w:rsid w:val="00465290"/>
    <w:rsid w:val="004742E9"/>
    <w:rsid w:val="00480C97"/>
    <w:rsid w:val="004810E1"/>
    <w:rsid w:val="00481A01"/>
    <w:rsid w:val="00483C58"/>
    <w:rsid w:val="004843C6"/>
    <w:rsid w:val="004938D2"/>
    <w:rsid w:val="004941DD"/>
    <w:rsid w:val="00495E8F"/>
    <w:rsid w:val="004A4A08"/>
    <w:rsid w:val="004A743F"/>
    <w:rsid w:val="004B470F"/>
    <w:rsid w:val="004C6886"/>
    <w:rsid w:val="004D17B3"/>
    <w:rsid w:val="004D472F"/>
    <w:rsid w:val="004D798B"/>
    <w:rsid w:val="004F7F4E"/>
    <w:rsid w:val="005038AC"/>
    <w:rsid w:val="005064FE"/>
    <w:rsid w:val="00510CC9"/>
    <w:rsid w:val="00510D84"/>
    <w:rsid w:val="0051254C"/>
    <w:rsid w:val="00525913"/>
    <w:rsid w:val="00527269"/>
    <w:rsid w:val="005365E3"/>
    <w:rsid w:val="00540D6A"/>
    <w:rsid w:val="00543245"/>
    <w:rsid w:val="00543D38"/>
    <w:rsid w:val="00544923"/>
    <w:rsid w:val="005460AE"/>
    <w:rsid w:val="0055062A"/>
    <w:rsid w:val="0056143D"/>
    <w:rsid w:val="00566A47"/>
    <w:rsid w:val="00574201"/>
    <w:rsid w:val="005748FE"/>
    <w:rsid w:val="00575B21"/>
    <w:rsid w:val="0058279B"/>
    <w:rsid w:val="00585AC1"/>
    <w:rsid w:val="00587657"/>
    <w:rsid w:val="005900C5"/>
    <w:rsid w:val="0059344F"/>
    <w:rsid w:val="00596E2D"/>
    <w:rsid w:val="005A1D9B"/>
    <w:rsid w:val="005A7C1C"/>
    <w:rsid w:val="005B33AB"/>
    <w:rsid w:val="005C3026"/>
    <w:rsid w:val="005D0259"/>
    <w:rsid w:val="005E1548"/>
    <w:rsid w:val="005E46DB"/>
    <w:rsid w:val="005E4E8E"/>
    <w:rsid w:val="005E62A8"/>
    <w:rsid w:val="005F73A6"/>
    <w:rsid w:val="00610220"/>
    <w:rsid w:val="006129F1"/>
    <w:rsid w:val="00614319"/>
    <w:rsid w:val="00622AA2"/>
    <w:rsid w:val="00642008"/>
    <w:rsid w:val="0064272F"/>
    <w:rsid w:val="00642A41"/>
    <w:rsid w:val="00647B93"/>
    <w:rsid w:val="00657856"/>
    <w:rsid w:val="00664417"/>
    <w:rsid w:val="00666CB8"/>
    <w:rsid w:val="0068495B"/>
    <w:rsid w:val="00693749"/>
    <w:rsid w:val="006A5C10"/>
    <w:rsid w:val="006A64ED"/>
    <w:rsid w:val="006B2424"/>
    <w:rsid w:val="006C3DF7"/>
    <w:rsid w:val="006D643A"/>
    <w:rsid w:val="006E2EDA"/>
    <w:rsid w:val="00701BE0"/>
    <w:rsid w:val="00705BD8"/>
    <w:rsid w:val="00730468"/>
    <w:rsid w:val="00740996"/>
    <w:rsid w:val="00750F2B"/>
    <w:rsid w:val="007515B8"/>
    <w:rsid w:val="00755F0C"/>
    <w:rsid w:val="00760558"/>
    <w:rsid w:val="00764D89"/>
    <w:rsid w:val="00767846"/>
    <w:rsid w:val="00771E67"/>
    <w:rsid w:val="00773FFF"/>
    <w:rsid w:val="00774089"/>
    <w:rsid w:val="0077560B"/>
    <w:rsid w:val="00777DEF"/>
    <w:rsid w:val="00781F0F"/>
    <w:rsid w:val="0078360A"/>
    <w:rsid w:val="0078541A"/>
    <w:rsid w:val="00792450"/>
    <w:rsid w:val="00793C88"/>
    <w:rsid w:val="00794D27"/>
    <w:rsid w:val="00797512"/>
    <w:rsid w:val="0079762C"/>
    <w:rsid w:val="007A42C4"/>
    <w:rsid w:val="007A7B25"/>
    <w:rsid w:val="007B668C"/>
    <w:rsid w:val="007C16D6"/>
    <w:rsid w:val="007C3A68"/>
    <w:rsid w:val="007C5EBC"/>
    <w:rsid w:val="007C7163"/>
    <w:rsid w:val="007D392A"/>
    <w:rsid w:val="007D463B"/>
    <w:rsid w:val="007E1CDD"/>
    <w:rsid w:val="007E229D"/>
    <w:rsid w:val="007E6B39"/>
    <w:rsid w:val="007E7D69"/>
    <w:rsid w:val="007F793F"/>
    <w:rsid w:val="0080590B"/>
    <w:rsid w:val="0080680C"/>
    <w:rsid w:val="0080765D"/>
    <w:rsid w:val="00823DE1"/>
    <w:rsid w:val="008357CD"/>
    <w:rsid w:val="00844437"/>
    <w:rsid w:val="008449E1"/>
    <w:rsid w:val="00847B66"/>
    <w:rsid w:val="00852ABE"/>
    <w:rsid w:val="008568E2"/>
    <w:rsid w:val="00857E1B"/>
    <w:rsid w:val="00866E56"/>
    <w:rsid w:val="00870C14"/>
    <w:rsid w:val="00880B25"/>
    <w:rsid w:val="00881AA1"/>
    <w:rsid w:val="008933BE"/>
    <w:rsid w:val="008A1B49"/>
    <w:rsid w:val="008C057D"/>
    <w:rsid w:val="008C2F4D"/>
    <w:rsid w:val="008C7F49"/>
    <w:rsid w:val="008D2098"/>
    <w:rsid w:val="008D4BA6"/>
    <w:rsid w:val="008D5E4F"/>
    <w:rsid w:val="008D77E7"/>
    <w:rsid w:val="008E5C96"/>
    <w:rsid w:val="008F04ED"/>
    <w:rsid w:val="008F4807"/>
    <w:rsid w:val="008F5D49"/>
    <w:rsid w:val="00904F57"/>
    <w:rsid w:val="00916648"/>
    <w:rsid w:val="00925992"/>
    <w:rsid w:val="009308DA"/>
    <w:rsid w:val="00933EBD"/>
    <w:rsid w:val="00940274"/>
    <w:rsid w:val="00941449"/>
    <w:rsid w:val="009418EA"/>
    <w:rsid w:val="00945B92"/>
    <w:rsid w:val="00947C61"/>
    <w:rsid w:val="00965177"/>
    <w:rsid w:val="00974A27"/>
    <w:rsid w:val="009816ED"/>
    <w:rsid w:val="00984035"/>
    <w:rsid w:val="00986082"/>
    <w:rsid w:val="00991BFC"/>
    <w:rsid w:val="00992314"/>
    <w:rsid w:val="00993FE5"/>
    <w:rsid w:val="009A23BD"/>
    <w:rsid w:val="009A3A42"/>
    <w:rsid w:val="009A74AC"/>
    <w:rsid w:val="009A7DB7"/>
    <w:rsid w:val="009C0A3F"/>
    <w:rsid w:val="009D0901"/>
    <w:rsid w:val="009E03E3"/>
    <w:rsid w:val="009E7457"/>
    <w:rsid w:val="009F0D78"/>
    <w:rsid w:val="009F7806"/>
    <w:rsid w:val="00A011D4"/>
    <w:rsid w:val="00A0161E"/>
    <w:rsid w:val="00A05093"/>
    <w:rsid w:val="00A10796"/>
    <w:rsid w:val="00A11FCC"/>
    <w:rsid w:val="00A14074"/>
    <w:rsid w:val="00A317D2"/>
    <w:rsid w:val="00A379AF"/>
    <w:rsid w:val="00A41439"/>
    <w:rsid w:val="00A473E7"/>
    <w:rsid w:val="00A604DB"/>
    <w:rsid w:val="00A72442"/>
    <w:rsid w:val="00A730C6"/>
    <w:rsid w:val="00A8060A"/>
    <w:rsid w:val="00A80A9C"/>
    <w:rsid w:val="00A87AB6"/>
    <w:rsid w:val="00A90701"/>
    <w:rsid w:val="00A9138A"/>
    <w:rsid w:val="00A91E86"/>
    <w:rsid w:val="00AA400C"/>
    <w:rsid w:val="00AB38DE"/>
    <w:rsid w:val="00AB53D9"/>
    <w:rsid w:val="00AC0F51"/>
    <w:rsid w:val="00AC1021"/>
    <w:rsid w:val="00AC60B9"/>
    <w:rsid w:val="00AD2455"/>
    <w:rsid w:val="00AD6625"/>
    <w:rsid w:val="00AE54C8"/>
    <w:rsid w:val="00AF70FF"/>
    <w:rsid w:val="00B01300"/>
    <w:rsid w:val="00B05A4A"/>
    <w:rsid w:val="00B138FC"/>
    <w:rsid w:val="00B213CE"/>
    <w:rsid w:val="00B228FB"/>
    <w:rsid w:val="00B365C2"/>
    <w:rsid w:val="00B40EDE"/>
    <w:rsid w:val="00B4258E"/>
    <w:rsid w:val="00B438EE"/>
    <w:rsid w:val="00B43EE1"/>
    <w:rsid w:val="00B533F5"/>
    <w:rsid w:val="00B53714"/>
    <w:rsid w:val="00B54865"/>
    <w:rsid w:val="00B65FE3"/>
    <w:rsid w:val="00B669D6"/>
    <w:rsid w:val="00B7131E"/>
    <w:rsid w:val="00B7282B"/>
    <w:rsid w:val="00B74A73"/>
    <w:rsid w:val="00B74E56"/>
    <w:rsid w:val="00B779EA"/>
    <w:rsid w:val="00B81ED8"/>
    <w:rsid w:val="00B83DC9"/>
    <w:rsid w:val="00BA0BC4"/>
    <w:rsid w:val="00BA3944"/>
    <w:rsid w:val="00BA4575"/>
    <w:rsid w:val="00BA7DCB"/>
    <w:rsid w:val="00BB49ED"/>
    <w:rsid w:val="00BB5D2C"/>
    <w:rsid w:val="00BB64F7"/>
    <w:rsid w:val="00BC1916"/>
    <w:rsid w:val="00BC2B3D"/>
    <w:rsid w:val="00BC3C1F"/>
    <w:rsid w:val="00BC5AAF"/>
    <w:rsid w:val="00BC7E1D"/>
    <w:rsid w:val="00BD15D6"/>
    <w:rsid w:val="00BD16EB"/>
    <w:rsid w:val="00BE08C6"/>
    <w:rsid w:val="00BE0BAE"/>
    <w:rsid w:val="00BE2846"/>
    <w:rsid w:val="00BF0A61"/>
    <w:rsid w:val="00BF145A"/>
    <w:rsid w:val="00C03450"/>
    <w:rsid w:val="00C21505"/>
    <w:rsid w:val="00C22E4C"/>
    <w:rsid w:val="00C343CE"/>
    <w:rsid w:val="00C4102A"/>
    <w:rsid w:val="00C50606"/>
    <w:rsid w:val="00C66DCC"/>
    <w:rsid w:val="00C7315F"/>
    <w:rsid w:val="00C82B29"/>
    <w:rsid w:val="00C83DD1"/>
    <w:rsid w:val="00C83F8C"/>
    <w:rsid w:val="00C9124B"/>
    <w:rsid w:val="00C96333"/>
    <w:rsid w:val="00CA3EAA"/>
    <w:rsid w:val="00CA46EF"/>
    <w:rsid w:val="00CA4A7A"/>
    <w:rsid w:val="00CA51B7"/>
    <w:rsid w:val="00CA53C4"/>
    <w:rsid w:val="00CA6A9A"/>
    <w:rsid w:val="00CB0F32"/>
    <w:rsid w:val="00CB11E4"/>
    <w:rsid w:val="00CB6899"/>
    <w:rsid w:val="00CD1B8B"/>
    <w:rsid w:val="00CD2D74"/>
    <w:rsid w:val="00CD79BB"/>
    <w:rsid w:val="00CE6438"/>
    <w:rsid w:val="00CF4B84"/>
    <w:rsid w:val="00D01107"/>
    <w:rsid w:val="00D076BD"/>
    <w:rsid w:val="00D14478"/>
    <w:rsid w:val="00D16676"/>
    <w:rsid w:val="00D2032B"/>
    <w:rsid w:val="00D21940"/>
    <w:rsid w:val="00D22EE8"/>
    <w:rsid w:val="00D31351"/>
    <w:rsid w:val="00D3315F"/>
    <w:rsid w:val="00D35930"/>
    <w:rsid w:val="00D366CB"/>
    <w:rsid w:val="00D379F8"/>
    <w:rsid w:val="00D40538"/>
    <w:rsid w:val="00D42C6B"/>
    <w:rsid w:val="00D445F8"/>
    <w:rsid w:val="00D45F3B"/>
    <w:rsid w:val="00D468F7"/>
    <w:rsid w:val="00D5142F"/>
    <w:rsid w:val="00D67A9F"/>
    <w:rsid w:val="00D7342E"/>
    <w:rsid w:val="00D84E7C"/>
    <w:rsid w:val="00D923F1"/>
    <w:rsid w:val="00D948AC"/>
    <w:rsid w:val="00DA1662"/>
    <w:rsid w:val="00DB25DD"/>
    <w:rsid w:val="00DB69F2"/>
    <w:rsid w:val="00DD1FBC"/>
    <w:rsid w:val="00DE4C6D"/>
    <w:rsid w:val="00DE5FEE"/>
    <w:rsid w:val="00DE772D"/>
    <w:rsid w:val="00DF22C4"/>
    <w:rsid w:val="00DF64CF"/>
    <w:rsid w:val="00E0459C"/>
    <w:rsid w:val="00E14FCE"/>
    <w:rsid w:val="00E21E39"/>
    <w:rsid w:val="00E426D1"/>
    <w:rsid w:val="00E42EFA"/>
    <w:rsid w:val="00E479FB"/>
    <w:rsid w:val="00E47CB2"/>
    <w:rsid w:val="00E50BF5"/>
    <w:rsid w:val="00E62146"/>
    <w:rsid w:val="00E640DD"/>
    <w:rsid w:val="00E666D0"/>
    <w:rsid w:val="00E67355"/>
    <w:rsid w:val="00E70E35"/>
    <w:rsid w:val="00E71A36"/>
    <w:rsid w:val="00E75923"/>
    <w:rsid w:val="00E77D38"/>
    <w:rsid w:val="00E830FF"/>
    <w:rsid w:val="00E83387"/>
    <w:rsid w:val="00E8524D"/>
    <w:rsid w:val="00E91B38"/>
    <w:rsid w:val="00E96399"/>
    <w:rsid w:val="00EA00FA"/>
    <w:rsid w:val="00EA5688"/>
    <w:rsid w:val="00EB04AC"/>
    <w:rsid w:val="00EB122F"/>
    <w:rsid w:val="00EB7BEB"/>
    <w:rsid w:val="00EC1385"/>
    <w:rsid w:val="00EC273C"/>
    <w:rsid w:val="00EC7142"/>
    <w:rsid w:val="00ED2EF2"/>
    <w:rsid w:val="00ED492B"/>
    <w:rsid w:val="00ED7764"/>
    <w:rsid w:val="00EE0552"/>
    <w:rsid w:val="00EE5F3C"/>
    <w:rsid w:val="00EF6CDB"/>
    <w:rsid w:val="00F11503"/>
    <w:rsid w:val="00F11F0C"/>
    <w:rsid w:val="00F219D6"/>
    <w:rsid w:val="00F23D8A"/>
    <w:rsid w:val="00F269FD"/>
    <w:rsid w:val="00F30F0B"/>
    <w:rsid w:val="00F3495B"/>
    <w:rsid w:val="00F35694"/>
    <w:rsid w:val="00F35DF8"/>
    <w:rsid w:val="00F372ED"/>
    <w:rsid w:val="00F40B8E"/>
    <w:rsid w:val="00F42AC8"/>
    <w:rsid w:val="00F62494"/>
    <w:rsid w:val="00F66378"/>
    <w:rsid w:val="00F6651C"/>
    <w:rsid w:val="00F705AB"/>
    <w:rsid w:val="00F8105A"/>
    <w:rsid w:val="00F87538"/>
    <w:rsid w:val="00F91F32"/>
    <w:rsid w:val="00F92498"/>
    <w:rsid w:val="00FA05CC"/>
    <w:rsid w:val="00FB307D"/>
    <w:rsid w:val="00FB32C8"/>
    <w:rsid w:val="00FC1F2D"/>
    <w:rsid w:val="00FC4038"/>
    <w:rsid w:val="00FC4BE1"/>
    <w:rsid w:val="00FC5CF7"/>
    <w:rsid w:val="00FD1AFB"/>
    <w:rsid w:val="00FE11EF"/>
    <w:rsid w:val="00FE2A42"/>
    <w:rsid w:val="00FE36B1"/>
    <w:rsid w:val="00FF012E"/>
    <w:rsid w:val="00FF5318"/>
    <w:rsid w:val="1B8CDF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E097"/>
  <w15:chartTrackingRefBased/>
  <w15:docId w15:val="{AF57C2B2-5753-4DD5-AE4F-89016133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pargrafoParecer">
    <w:name w:val="L_parágrafo_Parecer"/>
    <w:basedOn w:val="Cabealho"/>
    <w:link w:val="LpargrafoParecerChar"/>
    <w:autoRedefine/>
    <w:qFormat/>
    <w:rsid w:val="00B533F5"/>
    <w:pPr>
      <w:numPr>
        <w:numId w:val="1"/>
      </w:numPr>
      <w:tabs>
        <w:tab w:val="clear" w:pos="4252"/>
        <w:tab w:val="clear" w:pos="8504"/>
        <w:tab w:val="left" w:pos="1418"/>
      </w:tabs>
      <w:spacing w:after="240"/>
      <w:ind w:left="0" w:firstLine="0"/>
      <w:jc w:val="both"/>
    </w:pPr>
    <w:rPr>
      <w:sz w:val="24"/>
      <w:szCs w:val="24"/>
    </w:rPr>
  </w:style>
  <w:style w:type="character" w:customStyle="1" w:styleId="LpargrafoParecerChar">
    <w:name w:val="L_parágrafo_Parecer Char"/>
    <w:basedOn w:val="CabealhoChar"/>
    <w:link w:val="LpargrafoParecer"/>
    <w:rsid w:val="00B533F5"/>
    <w:rPr>
      <w:sz w:val="24"/>
      <w:szCs w:val="24"/>
    </w:rPr>
  </w:style>
  <w:style w:type="paragraph" w:styleId="Cabealho">
    <w:name w:val="header"/>
    <w:basedOn w:val="Normal"/>
    <w:link w:val="CabealhoChar"/>
    <w:uiPriority w:val="99"/>
    <w:unhideWhenUsed/>
    <w:rsid w:val="00B533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33F5"/>
  </w:style>
  <w:style w:type="character" w:styleId="Refdecomentrio">
    <w:name w:val="annotation reference"/>
    <w:basedOn w:val="Fontepargpadro"/>
    <w:uiPriority w:val="99"/>
    <w:semiHidden/>
    <w:unhideWhenUsed/>
    <w:rsid w:val="002C2CCC"/>
    <w:rPr>
      <w:sz w:val="16"/>
      <w:szCs w:val="16"/>
    </w:rPr>
  </w:style>
  <w:style w:type="paragraph" w:styleId="Textodecomentrio">
    <w:name w:val="annotation text"/>
    <w:basedOn w:val="Normal"/>
    <w:link w:val="TextodecomentrioChar"/>
    <w:uiPriority w:val="99"/>
    <w:unhideWhenUsed/>
    <w:rsid w:val="002C2CCC"/>
    <w:pPr>
      <w:spacing w:line="240" w:lineRule="auto"/>
    </w:pPr>
    <w:rPr>
      <w:sz w:val="20"/>
      <w:szCs w:val="20"/>
    </w:rPr>
  </w:style>
  <w:style w:type="character" w:customStyle="1" w:styleId="TextodecomentrioChar">
    <w:name w:val="Texto de comentário Char"/>
    <w:basedOn w:val="Fontepargpadro"/>
    <w:link w:val="Textodecomentrio"/>
    <w:uiPriority w:val="99"/>
    <w:rsid w:val="002C2CCC"/>
    <w:rPr>
      <w:sz w:val="20"/>
      <w:szCs w:val="20"/>
    </w:rPr>
  </w:style>
  <w:style w:type="paragraph" w:styleId="Assuntodocomentrio">
    <w:name w:val="annotation subject"/>
    <w:basedOn w:val="Textodecomentrio"/>
    <w:next w:val="Textodecomentrio"/>
    <w:link w:val="AssuntodocomentrioChar"/>
    <w:uiPriority w:val="99"/>
    <w:semiHidden/>
    <w:unhideWhenUsed/>
    <w:rsid w:val="002C2CCC"/>
    <w:rPr>
      <w:b/>
      <w:bCs/>
    </w:rPr>
  </w:style>
  <w:style w:type="character" w:customStyle="1" w:styleId="AssuntodocomentrioChar">
    <w:name w:val="Assunto do comentário Char"/>
    <w:basedOn w:val="TextodecomentrioChar"/>
    <w:link w:val="Assuntodocomentrio"/>
    <w:uiPriority w:val="99"/>
    <w:semiHidden/>
    <w:rsid w:val="002C2CCC"/>
    <w:rPr>
      <w:b/>
      <w:bCs/>
      <w:sz w:val="20"/>
      <w:szCs w:val="20"/>
    </w:rPr>
  </w:style>
  <w:style w:type="paragraph" w:styleId="Textodebalo">
    <w:name w:val="Balloon Text"/>
    <w:basedOn w:val="Normal"/>
    <w:link w:val="TextodebaloChar"/>
    <w:uiPriority w:val="99"/>
    <w:semiHidden/>
    <w:unhideWhenUsed/>
    <w:rsid w:val="002C2CC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C2CCC"/>
    <w:rPr>
      <w:rFonts w:ascii="Segoe UI" w:hAnsi="Segoe UI" w:cs="Segoe UI"/>
      <w:sz w:val="18"/>
      <w:szCs w:val="18"/>
    </w:rPr>
  </w:style>
  <w:style w:type="character" w:styleId="Hyperlink">
    <w:name w:val="Hyperlink"/>
    <w:uiPriority w:val="99"/>
    <w:unhideWhenUsed/>
    <w:rsid w:val="00FE2A42"/>
    <w:rPr>
      <w:color w:val="0000FF"/>
      <w:u w:val="single"/>
    </w:rPr>
  </w:style>
  <w:style w:type="paragraph" w:styleId="PargrafodaLista">
    <w:name w:val="List Paragraph"/>
    <w:basedOn w:val="Normal"/>
    <w:uiPriority w:val="34"/>
    <w:qFormat/>
    <w:rsid w:val="009E7457"/>
    <w:pPr>
      <w:ind w:left="720"/>
      <w:contextualSpacing/>
    </w:pPr>
  </w:style>
  <w:style w:type="paragraph" w:customStyle="1" w:styleId="paragraph">
    <w:name w:val="paragraph"/>
    <w:basedOn w:val="Normal"/>
    <w:rsid w:val="003833D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833D5"/>
  </w:style>
  <w:style w:type="paragraph" w:styleId="SemEspaamento">
    <w:name w:val="No Spacing"/>
    <w:uiPriority w:val="1"/>
    <w:qFormat/>
    <w:rsid w:val="00A8060A"/>
    <w:pPr>
      <w:spacing w:after="0" w:line="240" w:lineRule="auto"/>
    </w:pPr>
  </w:style>
  <w:style w:type="character" w:customStyle="1" w:styleId="eop">
    <w:name w:val="eop"/>
    <w:basedOn w:val="Fontepargpadro"/>
    <w:rsid w:val="003F3978"/>
  </w:style>
  <w:style w:type="table" w:styleId="Tabelacomgrade">
    <w:name w:val="Table Grid"/>
    <w:basedOn w:val="Tabelanormal"/>
    <w:uiPriority w:val="39"/>
    <w:rsid w:val="00AC1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5E4E8E"/>
    <w:pPr>
      <w:keepNext/>
      <w:widowControl w:val="0"/>
      <w:shd w:val="clear" w:color="auto" w:fill="FFFFFF"/>
      <w:suppressAutoHyphens/>
      <w:spacing w:after="0" w:line="240" w:lineRule="auto"/>
      <w:textAlignment w:val="baseline"/>
    </w:pPr>
    <w:rPr>
      <w:rFonts w:ascii="Times New Roman" w:eastAsia="Droid Sans Fallback" w:hAnsi="Times New Roman" w:cs="Lohit Hindi"/>
      <w:sz w:val="24"/>
      <w:szCs w:val="24"/>
      <w:lang w:eastAsia="zh-CN" w:bidi="hi-IN"/>
    </w:rPr>
  </w:style>
  <w:style w:type="character" w:styleId="HiperlinkVisitado">
    <w:name w:val="FollowedHyperlink"/>
    <w:basedOn w:val="Fontepargpadro"/>
    <w:uiPriority w:val="99"/>
    <w:semiHidden/>
    <w:unhideWhenUsed/>
    <w:rsid w:val="009D0901"/>
    <w:rPr>
      <w:color w:val="954F72" w:themeColor="followedHyperlink"/>
      <w:u w:val="single"/>
    </w:rPr>
  </w:style>
  <w:style w:type="paragraph" w:styleId="Reviso">
    <w:name w:val="Revision"/>
    <w:hidden/>
    <w:uiPriority w:val="99"/>
    <w:semiHidden/>
    <w:rsid w:val="00D3315F"/>
    <w:pPr>
      <w:spacing w:after="0" w:line="240" w:lineRule="auto"/>
    </w:pPr>
  </w:style>
  <w:style w:type="paragraph" w:styleId="Rodap">
    <w:name w:val="footer"/>
    <w:basedOn w:val="Normal"/>
    <w:link w:val="RodapChar"/>
    <w:unhideWhenUsed/>
    <w:rsid w:val="00614319"/>
    <w:pPr>
      <w:tabs>
        <w:tab w:val="center" w:pos="4252"/>
        <w:tab w:val="right" w:pos="8504"/>
      </w:tabs>
      <w:spacing w:after="0" w:line="240" w:lineRule="auto"/>
    </w:pPr>
  </w:style>
  <w:style w:type="character" w:customStyle="1" w:styleId="RodapChar">
    <w:name w:val="Rodapé Char"/>
    <w:basedOn w:val="Fontepargpadro"/>
    <w:link w:val="Rodap"/>
    <w:uiPriority w:val="99"/>
    <w:rsid w:val="00614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01035">
      <w:bodyDiv w:val="1"/>
      <w:marLeft w:val="0"/>
      <w:marRight w:val="0"/>
      <w:marTop w:val="0"/>
      <w:marBottom w:val="0"/>
      <w:divBdr>
        <w:top w:val="none" w:sz="0" w:space="0" w:color="auto"/>
        <w:left w:val="none" w:sz="0" w:space="0" w:color="auto"/>
        <w:bottom w:val="none" w:sz="0" w:space="0" w:color="auto"/>
        <w:right w:val="none" w:sz="0" w:space="0" w:color="auto"/>
      </w:divBdr>
    </w:div>
    <w:div w:id="352852529">
      <w:bodyDiv w:val="1"/>
      <w:marLeft w:val="0"/>
      <w:marRight w:val="0"/>
      <w:marTop w:val="0"/>
      <w:marBottom w:val="0"/>
      <w:divBdr>
        <w:top w:val="none" w:sz="0" w:space="0" w:color="auto"/>
        <w:left w:val="none" w:sz="0" w:space="0" w:color="auto"/>
        <w:bottom w:val="none" w:sz="0" w:space="0" w:color="auto"/>
        <w:right w:val="none" w:sz="0" w:space="0" w:color="auto"/>
      </w:divBdr>
    </w:div>
    <w:div w:id="506094050">
      <w:bodyDiv w:val="1"/>
      <w:marLeft w:val="0"/>
      <w:marRight w:val="0"/>
      <w:marTop w:val="0"/>
      <w:marBottom w:val="0"/>
      <w:divBdr>
        <w:top w:val="none" w:sz="0" w:space="0" w:color="auto"/>
        <w:left w:val="none" w:sz="0" w:space="0" w:color="auto"/>
        <w:bottom w:val="none" w:sz="0" w:space="0" w:color="auto"/>
        <w:right w:val="none" w:sz="0" w:space="0" w:color="auto"/>
      </w:divBdr>
    </w:div>
    <w:div w:id="722682487">
      <w:bodyDiv w:val="1"/>
      <w:marLeft w:val="0"/>
      <w:marRight w:val="0"/>
      <w:marTop w:val="0"/>
      <w:marBottom w:val="0"/>
      <w:divBdr>
        <w:top w:val="none" w:sz="0" w:space="0" w:color="auto"/>
        <w:left w:val="none" w:sz="0" w:space="0" w:color="auto"/>
        <w:bottom w:val="none" w:sz="0" w:space="0" w:color="auto"/>
        <w:right w:val="none" w:sz="0" w:space="0" w:color="auto"/>
      </w:divBdr>
    </w:div>
    <w:div w:id="747773875">
      <w:bodyDiv w:val="1"/>
      <w:marLeft w:val="0"/>
      <w:marRight w:val="0"/>
      <w:marTop w:val="0"/>
      <w:marBottom w:val="0"/>
      <w:divBdr>
        <w:top w:val="none" w:sz="0" w:space="0" w:color="auto"/>
        <w:left w:val="none" w:sz="0" w:space="0" w:color="auto"/>
        <w:bottom w:val="none" w:sz="0" w:space="0" w:color="auto"/>
        <w:right w:val="none" w:sz="0" w:space="0" w:color="auto"/>
      </w:divBdr>
    </w:div>
    <w:div w:id="972949834">
      <w:bodyDiv w:val="1"/>
      <w:marLeft w:val="0"/>
      <w:marRight w:val="0"/>
      <w:marTop w:val="0"/>
      <w:marBottom w:val="0"/>
      <w:divBdr>
        <w:top w:val="none" w:sz="0" w:space="0" w:color="auto"/>
        <w:left w:val="none" w:sz="0" w:space="0" w:color="auto"/>
        <w:bottom w:val="none" w:sz="0" w:space="0" w:color="auto"/>
        <w:right w:val="none" w:sz="0" w:space="0" w:color="auto"/>
      </w:divBdr>
    </w:div>
    <w:div w:id="1143084142">
      <w:bodyDiv w:val="1"/>
      <w:marLeft w:val="0"/>
      <w:marRight w:val="0"/>
      <w:marTop w:val="0"/>
      <w:marBottom w:val="0"/>
      <w:divBdr>
        <w:top w:val="none" w:sz="0" w:space="0" w:color="auto"/>
        <w:left w:val="none" w:sz="0" w:space="0" w:color="auto"/>
        <w:bottom w:val="none" w:sz="0" w:space="0" w:color="auto"/>
        <w:right w:val="none" w:sz="0" w:space="0" w:color="auto"/>
      </w:divBdr>
    </w:div>
    <w:div w:id="1220171626">
      <w:bodyDiv w:val="1"/>
      <w:marLeft w:val="0"/>
      <w:marRight w:val="0"/>
      <w:marTop w:val="0"/>
      <w:marBottom w:val="0"/>
      <w:divBdr>
        <w:top w:val="none" w:sz="0" w:space="0" w:color="auto"/>
        <w:left w:val="none" w:sz="0" w:space="0" w:color="auto"/>
        <w:bottom w:val="none" w:sz="0" w:space="0" w:color="auto"/>
        <w:right w:val="none" w:sz="0" w:space="0" w:color="auto"/>
      </w:divBdr>
    </w:div>
    <w:div w:id="1393891095">
      <w:bodyDiv w:val="1"/>
      <w:marLeft w:val="0"/>
      <w:marRight w:val="0"/>
      <w:marTop w:val="0"/>
      <w:marBottom w:val="0"/>
      <w:divBdr>
        <w:top w:val="none" w:sz="0" w:space="0" w:color="auto"/>
        <w:left w:val="none" w:sz="0" w:space="0" w:color="auto"/>
        <w:bottom w:val="none" w:sz="0" w:space="0" w:color="auto"/>
        <w:right w:val="none" w:sz="0" w:space="0" w:color="auto"/>
      </w:divBdr>
    </w:div>
    <w:div w:id="1460806881">
      <w:bodyDiv w:val="1"/>
      <w:marLeft w:val="0"/>
      <w:marRight w:val="0"/>
      <w:marTop w:val="0"/>
      <w:marBottom w:val="0"/>
      <w:divBdr>
        <w:top w:val="none" w:sz="0" w:space="0" w:color="auto"/>
        <w:left w:val="none" w:sz="0" w:space="0" w:color="auto"/>
        <w:bottom w:val="none" w:sz="0" w:space="0" w:color="auto"/>
        <w:right w:val="none" w:sz="0" w:space="0" w:color="auto"/>
      </w:divBdr>
    </w:div>
    <w:div w:id="1577009791">
      <w:bodyDiv w:val="1"/>
      <w:marLeft w:val="0"/>
      <w:marRight w:val="0"/>
      <w:marTop w:val="0"/>
      <w:marBottom w:val="0"/>
      <w:divBdr>
        <w:top w:val="none" w:sz="0" w:space="0" w:color="auto"/>
        <w:left w:val="none" w:sz="0" w:space="0" w:color="auto"/>
        <w:bottom w:val="none" w:sz="0" w:space="0" w:color="auto"/>
        <w:right w:val="none" w:sz="0" w:space="0" w:color="auto"/>
      </w:divBdr>
    </w:div>
    <w:div w:id="1773935529">
      <w:bodyDiv w:val="1"/>
      <w:marLeft w:val="0"/>
      <w:marRight w:val="0"/>
      <w:marTop w:val="0"/>
      <w:marBottom w:val="0"/>
      <w:divBdr>
        <w:top w:val="none" w:sz="0" w:space="0" w:color="auto"/>
        <w:left w:val="none" w:sz="0" w:space="0" w:color="auto"/>
        <w:bottom w:val="none" w:sz="0" w:space="0" w:color="auto"/>
        <w:right w:val="none" w:sz="0" w:space="0" w:color="auto"/>
      </w:divBdr>
    </w:div>
    <w:div w:id="1810828642">
      <w:bodyDiv w:val="1"/>
      <w:marLeft w:val="0"/>
      <w:marRight w:val="0"/>
      <w:marTop w:val="0"/>
      <w:marBottom w:val="0"/>
      <w:divBdr>
        <w:top w:val="none" w:sz="0" w:space="0" w:color="auto"/>
        <w:left w:val="none" w:sz="0" w:space="0" w:color="auto"/>
        <w:bottom w:val="none" w:sz="0" w:space="0" w:color="auto"/>
        <w:right w:val="none" w:sz="0" w:space="0" w:color="auto"/>
      </w:divBdr>
    </w:div>
    <w:div w:id="211917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ertidoesapf.apps.tcu.gov.b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nj.jus.br/improbidade_adm/consultar_requerido.ph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6" ma:contentTypeDescription="Create a new document." ma:contentTypeScope="" ma:versionID="e0a6417a0616bf881a651ea7ba4188e8">
  <xsd:schema xmlns:xsd="http://www.w3.org/2001/XMLSchema" xmlns:xs="http://www.w3.org/2001/XMLSchema" xmlns:p="http://schemas.microsoft.com/office/2006/metadata/properties" xmlns:ns2="52c93ea8-e2de-466c-b401-d7fabeb9490e" targetNamespace="http://schemas.microsoft.com/office/2006/metadata/properties" ma:root="true" ma:fieldsID="499979fcb82b6132cf3b34de9539001e"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8382B-11D9-44BC-9A10-407A213B6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55C077-44E2-4F55-94F6-5F0E7E0CAC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1846AF-4CB5-4900-856D-E862DB39D77F}">
  <ds:schemaRefs>
    <ds:schemaRef ds:uri="http://schemas.microsoft.com/sharepoint/v3/contenttype/forms"/>
  </ds:schemaRefs>
</ds:datastoreItem>
</file>

<file path=customXml/itemProps4.xml><?xml version="1.0" encoding="utf-8"?>
<ds:datastoreItem xmlns:ds="http://schemas.openxmlformats.org/officeDocument/2006/customXml" ds:itemID="{6C62016A-F1BB-4D4F-92AB-475D062F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2381</Words>
  <Characters>12859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Banco Central do Brasil</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Sarai</dc:creator>
  <cp:keywords/>
  <dc:description/>
  <cp:lastModifiedBy>Hugo Sales</cp:lastModifiedBy>
  <cp:revision>2</cp:revision>
  <dcterms:created xsi:type="dcterms:W3CDTF">2020-12-18T01:25:00Z</dcterms:created>
  <dcterms:modified xsi:type="dcterms:W3CDTF">2020-12-18T01:25:00Z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AuthorIds_UIVersion_512">
    <vt:lpwstr>44</vt:lpwstr>
  </property>
  <property fmtid="{D5CDD505-2E9C-101B-9397-08002B2CF9AE}" pid="4" name="AuthorIds_UIVersion_1024">
    <vt:lpwstr>48</vt:lpwstr>
  </property>
</Properties>
</file>